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5D65F">
      <w:pPr>
        <w:ind w:left="426" w:right="-17"/>
        <w:jc w:val="center"/>
        <w:rPr>
          <w:rFonts w:ascii="Arial" w:hAnsi="Arial" w:cs="Arial"/>
          <w:b/>
        </w:rPr>
      </w:pPr>
      <w:bookmarkStart w:id="0" w:name="_Hlk142658039"/>
      <w:r>
        <w:rPr>
          <w:rFonts w:ascii="Arial" w:hAnsi="Arial" w:cs="Arial"/>
          <w:b/>
        </w:rPr>
        <w:t>ANEXO VII</w:t>
      </w:r>
    </w:p>
    <w:p w14:paraId="46B64F96">
      <w:pPr>
        <w:ind w:left="426" w:right="-17"/>
        <w:jc w:val="center"/>
        <w:rPr>
          <w:rFonts w:ascii="Arial" w:hAnsi="Arial" w:cs="Arial"/>
          <w:b/>
        </w:rPr>
      </w:pPr>
    </w:p>
    <w:p w14:paraId="379AD05E">
      <w:pPr>
        <w:ind w:left="426" w:right="-17"/>
        <w:jc w:val="center"/>
        <w:rPr>
          <w:rFonts w:ascii="Arial" w:hAnsi="Arial" w:cs="Arial"/>
          <w:b/>
        </w:rPr>
      </w:pPr>
      <w:r>
        <w:rPr>
          <w:rFonts w:ascii="Arial" w:hAnsi="Arial" w:cs="Arial"/>
          <w:b/>
        </w:rPr>
        <w:t>MINUTA DE TERMO DE CONTRATO DE SERVIÇOS</w:t>
      </w:r>
      <w:bookmarkEnd w:id="0"/>
    </w:p>
    <w:p w14:paraId="177EBF7D">
      <w:pPr>
        <w:ind w:left="426" w:right="-17"/>
        <w:jc w:val="center"/>
        <w:rPr>
          <w:rFonts w:ascii="Arial" w:hAnsi="Arial" w:cs="Arial"/>
          <w:b/>
        </w:rPr>
      </w:pPr>
    </w:p>
    <w:p w14:paraId="2AB63220">
      <w:pPr>
        <w:ind w:left="4253" w:right="-17"/>
        <w:jc w:val="both"/>
        <w:rPr>
          <w:rFonts w:ascii="Arial" w:hAnsi="Arial" w:cs="Arial"/>
          <w:b/>
        </w:rPr>
      </w:pPr>
    </w:p>
    <w:p w14:paraId="1EADE88E">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14:paraId="4C40076A">
      <w:pPr>
        <w:spacing w:line="276" w:lineRule="auto"/>
        <w:ind w:left="5103" w:right="-17"/>
        <w:jc w:val="both"/>
        <w:rPr>
          <w:rFonts w:ascii="Arial" w:hAnsi="Arial" w:cs="Arial"/>
          <w:b/>
        </w:rPr>
      </w:pPr>
    </w:p>
    <w:bookmarkEnd w:id="1"/>
    <w:p w14:paraId="6E21BCF7">
      <w:pPr>
        <w:pStyle w:val="13"/>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nº </w:t>
      </w:r>
      <w:r>
        <w:rPr>
          <w:rFonts w:hint="default" w:ascii="Arial" w:hAnsi="Arial" w:cs="Arial"/>
          <w:b/>
          <w:bCs/>
          <w:sz w:val="22"/>
          <w:szCs w:val="22"/>
          <w:lang w:val="pt-BR"/>
        </w:rPr>
        <w:t>5.321/2026</w:t>
      </w:r>
      <w:r>
        <w:rPr>
          <w:rFonts w:ascii="Arial" w:hAnsi="Arial" w:cs="Arial"/>
          <w:b/>
          <w:bCs/>
          <w:sz w:val="22"/>
          <w:szCs w:val="22"/>
        </w:rPr>
        <w:t xml:space="preserve">, </w:t>
      </w:r>
      <w:r>
        <w:rPr>
          <w:rFonts w:ascii="Arial" w:hAnsi="Arial" w:cs="Arial"/>
          <w:sz w:val="22"/>
          <w:szCs w:val="22"/>
        </w:rPr>
        <w:t xml:space="preserve">e em observância às disposições da Lei nº 14.133, de 1º de abril de 2021 </w:t>
      </w:r>
      <w:r>
        <w:rPr>
          <w:rFonts w:ascii="Arial" w:hAnsi="Arial" w:cs="Arial"/>
          <w:sz w:val="22"/>
          <w:szCs w:val="22"/>
          <w:lang w:val="pt-PT"/>
        </w:rPr>
        <w:t>e demais legislações aplicáveis</w:t>
      </w:r>
      <w:r>
        <w:rPr>
          <w:rFonts w:ascii="Arial" w:hAnsi="Arial" w:cs="Arial"/>
          <w:sz w:val="22"/>
          <w:szCs w:val="22"/>
        </w:rPr>
        <w:t>,</w:t>
      </w:r>
      <w:r>
        <w:rPr>
          <w:rFonts w:ascii="Arial" w:hAnsi="Arial" w:cs="Arial"/>
          <w:i/>
          <w:sz w:val="22"/>
          <w:szCs w:val="22"/>
        </w:rPr>
        <w:t xml:space="preserve"> </w:t>
      </w:r>
      <w:r>
        <w:rPr>
          <w:rFonts w:ascii="Arial" w:hAnsi="Arial" w:cs="Arial"/>
          <w:sz w:val="22"/>
          <w:szCs w:val="22"/>
        </w:rPr>
        <w:t xml:space="preserve">resolvem celebrar o presente Termo de Contrato, decorrente do </w:t>
      </w:r>
      <w:r>
        <w:rPr>
          <w:rFonts w:ascii="Arial" w:hAnsi="Arial" w:cs="Arial"/>
          <w:b/>
          <w:bCs/>
          <w:sz w:val="22"/>
          <w:szCs w:val="22"/>
          <w:highlight w:val="none"/>
        </w:rPr>
        <w:t xml:space="preserve">Pregão Eletrônico nº </w:t>
      </w:r>
      <w:r>
        <w:rPr>
          <w:rFonts w:hint="default" w:ascii="Arial" w:hAnsi="Arial" w:cs="Arial"/>
          <w:b/>
          <w:bCs/>
          <w:sz w:val="22"/>
          <w:szCs w:val="22"/>
          <w:highlight w:val="none"/>
          <w:lang w:val="pt-BR"/>
        </w:rPr>
        <w:t>90.026/2026</w:t>
      </w:r>
      <w:r>
        <w:rPr>
          <w:rFonts w:ascii="Arial" w:hAnsi="Arial" w:cs="Arial"/>
          <w:sz w:val="22"/>
          <w:szCs w:val="22"/>
          <w:highlight w:val="none"/>
        </w:rPr>
        <w:t>,</w:t>
      </w:r>
      <w:r>
        <w:rPr>
          <w:rFonts w:ascii="Arial" w:hAnsi="Arial" w:cs="Arial"/>
          <w:sz w:val="22"/>
          <w:szCs w:val="22"/>
        </w:rPr>
        <w:t xml:space="preserve"> mediante as cláusulas e condições a seguir enunciadas.</w:t>
      </w:r>
    </w:p>
    <w:p w14:paraId="15D1FBCC">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14:paraId="6EF57C0A">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 contratação de</w:t>
      </w:r>
      <w:r>
        <w:rPr>
          <w:rFonts w:hint="default" w:ascii="Arial" w:hAnsi="Arial" w:eastAsia="Times New Roman" w:cs="Arial"/>
          <w:b/>
          <w:bCs/>
          <w:sz w:val="22"/>
          <w:szCs w:val="22"/>
        </w:rPr>
        <w:t xml:space="preserve"> EMPRESA ESPECIALIZADA PARA EXECUÇÃO DE SERVIÇOS COMUNS DE ENGENHARIA VOLTADOS À DESTINAÇÃO FINAL DE RESÍDUOS SÓLIDOS - CONTRATAÇÃO DE BOTA-FORA</w:t>
      </w:r>
      <w:r>
        <w:rPr>
          <w:rFonts w:ascii="Arial" w:hAnsi="Arial" w:cs="Arial"/>
          <w:bCs/>
          <w:iCs/>
        </w:rPr>
        <w:t>, nas condições estabelecidas no Termo de Referência – Anexo I do edital.</w:t>
      </w:r>
    </w:p>
    <w:p w14:paraId="68482778">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14:paraId="30136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14:paraId="29DEF885">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14:paraId="69F0C268">
            <w:pPr>
              <w:pStyle w:val="19"/>
              <w:ind w:left="0"/>
              <w:jc w:val="center"/>
              <w:rPr>
                <w:rFonts w:ascii="Arial" w:hAnsi="Arial" w:cs="Arial"/>
                <w:b/>
              </w:rPr>
            </w:pPr>
            <w:r>
              <w:rPr>
                <w:rFonts w:ascii="Arial" w:hAnsi="Arial" w:cs="Arial"/>
                <w:b/>
              </w:rPr>
              <w:t>CATSER</w:t>
            </w:r>
          </w:p>
        </w:tc>
        <w:tc>
          <w:tcPr>
            <w:tcW w:w="1328" w:type="pct"/>
            <w:vMerge w:val="restart"/>
            <w:shd w:val="clear" w:color="auto" w:fill="D8D8D8"/>
            <w:tcMar>
              <w:top w:w="0" w:type="dxa"/>
              <w:left w:w="108" w:type="dxa"/>
              <w:bottom w:w="0" w:type="dxa"/>
              <w:right w:w="108" w:type="dxa"/>
            </w:tcMar>
            <w:vAlign w:val="center"/>
          </w:tcPr>
          <w:p w14:paraId="545F038B">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14:paraId="1AA07BE3">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14:paraId="19BD69DE">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14:paraId="1293182F">
            <w:pPr>
              <w:pStyle w:val="19"/>
              <w:ind w:left="0"/>
              <w:jc w:val="center"/>
              <w:rPr>
                <w:rFonts w:ascii="Arial" w:hAnsi="Arial" w:cs="Arial"/>
                <w:b/>
              </w:rPr>
            </w:pPr>
            <w:r>
              <w:rPr>
                <w:rFonts w:ascii="Arial" w:hAnsi="Arial" w:cs="Arial"/>
                <w:b/>
              </w:rPr>
              <w:t>VALOR</w:t>
            </w:r>
          </w:p>
        </w:tc>
      </w:tr>
      <w:tr w14:paraId="32CDD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14:paraId="748FBE36">
            <w:pPr>
              <w:rPr>
                <w:rFonts w:ascii="Arial" w:hAnsi="Arial" w:cs="Arial"/>
              </w:rPr>
            </w:pPr>
          </w:p>
        </w:tc>
        <w:tc>
          <w:tcPr>
            <w:tcW w:w="606" w:type="pct"/>
            <w:vMerge w:val="continue"/>
            <w:shd w:val="clear" w:color="auto" w:fill="D8D8D8"/>
          </w:tcPr>
          <w:p w14:paraId="49811FD8">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14:paraId="79AF6F9E">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14:paraId="46AE2A1C">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14:paraId="22923C41">
            <w:pPr>
              <w:rPr>
                <w:rFonts w:ascii="Arial" w:hAnsi="Arial" w:cs="Arial"/>
              </w:rPr>
            </w:pPr>
          </w:p>
        </w:tc>
        <w:tc>
          <w:tcPr>
            <w:tcW w:w="839" w:type="pct"/>
            <w:shd w:val="clear" w:color="auto" w:fill="D8D8D8"/>
            <w:tcMar>
              <w:top w:w="0" w:type="dxa"/>
              <w:left w:w="108" w:type="dxa"/>
              <w:bottom w:w="0" w:type="dxa"/>
              <w:right w:w="108" w:type="dxa"/>
            </w:tcMar>
            <w:vAlign w:val="center"/>
          </w:tcPr>
          <w:p w14:paraId="5F1E5969">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14:paraId="2A58FC25">
            <w:pPr>
              <w:pStyle w:val="19"/>
              <w:ind w:left="0"/>
              <w:jc w:val="center"/>
              <w:rPr>
                <w:rFonts w:ascii="Arial" w:hAnsi="Arial" w:cs="Arial"/>
                <w:b/>
              </w:rPr>
            </w:pPr>
            <w:r>
              <w:rPr>
                <w:rFonts w:ascii="Arial" w:hAnsi="Arial" w:cs="Arial"/>
                <w:b/>
              </w:rPr>
              <w:t>TOTAL</w:t>
            </w:r>
          </w:p>
        </w:tc>
      </w:tr>
      <w:tr w14:paraId="6E38B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0BEA9E3B">
            <w:pPr>
              <w:pStyle w:val="38"/>
              <w:jc w:val="center"/>
              <w:rPr>
                <w:rFonts w:ascii="Arial" w:hAnsi="Arial" w:cs="Arial"/>
                <w:b/>
              </w:rPr>
            </w:pPr>
            <w:r>
              <w:rPr>
                <w:rFonts w:ascii="Arial" w:hAnsi="Arial" w:cs="Arial"/>
                <w:b/>
              </w:rPr>
              <w:t>1</w:t>
            </w:r>
          </w:p>
        </w:tc>
        <w:tc>
          <w:tcPr>
            <w:tcW w:w="606" w:type="pct"/>
          </w:tcPr>
          <w:p w14:paraId="42C4E778">
            <w:pPr>
              <w:pStyle w:val="38"/>
              <w:jc w:val="both"/>
              <w:rPr>
                <w:rFonts w:ascii="Arial" w:hAnsi="Arial" w:cs="Arial"/>
              </w:rPr>
            </w:pPr>
          </w:p>
        </w:tc>
        <w:tc>
          <w:tcPr>
            <w:tcW w:w="1328" w:type="pct"/>
            <w:tcMar>
              <w:top w:w="0" w:type="dxa"/>
              <w:left w:w="108" w:type="dxa"/>
              <w:bottom w:w="0" w:type="dxa"/>
              <w:right w:w="108" w:type="dxa"/>
            </w:tcMar>
            <w:vAlign w:val="center"/>
          </w:tcPr>
          <w:p w14:paraId="16F0BC9D">
            <w:pPr>
              <w:pStyle w:val="38"/>
              <w:jc w:val="both"/>
              <w:rPr>
                <w:rFonts w:ascii="Arial" w:hAnsi="Arial" w:cs="Arial"/>
              </w:rPr>
            </w:pPr>
          </w:p>
        </w:tc>
        <w:tc>
          <w:tcPr>
            <w:tcW w:w="534" w:type="pct"/>
            <w:tcMar>
              <w:top w:w="0" w:type="dxa"/>
              <w:left w:w="108" w:type="dxa"/>
              <w:bottom w:w="0" w:type="dxa"/>
              <w:right w:w="108" w:type="dxa"/>
            </w:tcMar>
            <w:vAlign w:val="center"/>
          </w:tcPr>
          <w:p w14:paraId="5CB77E9A">
            <w:pPr>
              <w:pStyle w:val="38"/>
              <w:jc w:val="center"/>
              <w:rPr>
                <w:rFonts w:ascii="Arial" w:hAnsi="Arial" w:cs="Arial"/>
              </w:rPr>
            </w:pPr>
          </w:p>
        </w:tc>
        <w:tc>
          <w:tcPr>
            <w:tcW w:w="583" w:type="pct"/>
            <w:tcMar>
              <w:top w:w="0" w:type="dxa"/>
              <w:left w:w="108" w:type="dxa"/>
              <w:bottom w:w="0" w:type="dxa"/>
              <w:right w:w="108" w:type="dxa"/>
            </w:tcMar>
            <w:vAlign w:val="center"/>
          </w:tcPr>
          <w:p w14:paraId="0680BB6E">
            <w:pPr>
              <w:pStyle w:val="38"/>
              <w:jc w:val="center"/>
              <w:rPr>
                <w:rFonts w:ascii="Arial" w:hAnsi="Arial" w:cs="Arial"/>
                <w:b/>
              </w:rPr>
            </w:pPr>
          </w:p>
        </w:tc>
        <w:tc>
          <w:tcPr>
            <w:tcW w:w="839" w:type="pct"/>
            <w:tcMar>
              <w:top w:w="0" w:type="dxa"/>
              <w:left w:w="108" w:type="dxa"/>
              <w:bottom w:w="0" w:type="dxa"/>
              <w:right w:w="108" w:type="dxa"/>
            </w:tcMar>
            <w:vAlign w:val="center"/>
          </w:tcPr>
          <w:p w14:paraId="13A32A81">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75A24B89">
            <w:pPr>
              <w:pStyle w:val="38"/>
              <w:spacing w:after="0" w:line="240" w:lineRule="auto"/>
              <w:jc w:val="right"/>
              <w:rPr>
                <w:rFonts w:ascii="Arial" w:hAnsi="Arial" w:cs="Arial"/>
                <w:b/>
                <w:bCs/>
              </w:rPr>
            </w:pPr>
          </w:p>
        </w:tc>
      </w:tr>
      <w:tr w14:paraId="065DC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6563AB0F">
            <w:pPr>
              <w:pStyle w:val="38"/>
              <w:jc w:val="center"/>
              <w:rPr>
                <w:rFonts w:ascii="Arial" w:hAnsi="Arial" w:cs="Arial"/>
                <w:b/>
              </w:rPr>
            </w:pPr>
            <w:r>
              <w:rPr>
                <w:rFonts w:ascii="Arial" w:hAnsi="Arial" w:cs="Arial"/>
                <w:b/>
              </w:rPr>
              <w:t>…</w:t>
            </w:r>
          </w:p>
        </w:tc>
        <w:tc>
          <w:tcPr>
            <w:tcW w:w="606" w:type="pct"/>
          </w:tcPr>
          <w:p w14:paraId="3BA639F0">
            <w:pPr>
              <w:pStyle w:val="38"/>
              <w:jc w:val="both"/>
              <w:rPr>
                <w:rFonts w:ascii="Arial" w:hAnsi="Arial" w:cs="Arial"/>
              </w:rPr>
            </w:pPr>
          </w:p>
        </w:tc>
        <w:tc>
          <w:tcPr>
            <w:tcW w:w="1328" w:type="pct"/>
            <w:tcMar>
              <w:top w:w="0" w:type="dxa"/>
              <w:left w:w="108" w:type="dxa"/>
              <w:bottom w:w="0" w:type="dxa"/>
              <w:right w:w="108" w:type="dxa"/>
            </w:tcMar>
            <w:vAlign w:val="center"/>
          </w:tcPr>
          <w:p w14:paraId="73097DB5">
            <w:pPr>
              <w:pStyle w:val="38"/>
              <w:jc w:val="both"/>
              <w:rPr>
                <w:rFonts w:ascii="Arial" w:hAnsi="Arial" w:cs="Arial"/>
              </w:rPr>
            </w:pPr>
          </w:p>
        </w:tc>
        <w:tc>
          <w:tcPr>
            <w:tcW w:w="534" w:type="pct"/>
            <w:tcMar>
              <w:top w:w="0" w:type="dxa"/>
              <w:left w:w="108" w:type="dxa"/>
              <w:bottom w:w="0" w:type="dxa"/>
              <w:right w:w="108" w:type="dxa"/>
            </w:tcMar>
            <w:vAlign w:val="center"/>
          </w:tcPr>
          <w:p w14:paraId="01F30996">
            <w:pPr>
              <w:pStyle w:val="38"/>
              <w:jc w:val="center"/>
              <w:rPr>
                <w:rFonts w:ascii="Arial" w:hAnsi="Arial" w:cs="Arial"/>
              </w:rPr>
            </w:pPr>
          </w:p>
        </w:tc>
        <w:tc>
          <w:tcPr>
            <w:tcW w:w="583" w:type="pct"/>
            <w:tcMar>
              <w:top w:w="0" w:type="dxa"/>
              <w:left w:w="108" w:type="dxa"/>
              <w:bottom w:w="0" w:type="dxa"/>
              <w:right w:w="108" w:type="dxa"/>
            </w:tcMar>
            <w:vAlign w:val="center"/>
          </w:tcPr>
          <w:p w14:paraId="63C36B19">
            <w:pPr>
              <w:pStyle w:val="38"/>
              <w:jc w:val="center"/>
              <w:rPr>
                <w:rFonts w:ascii="Arial" w:hAnsi="Arial" w:cs="Arial"/>
                <w:b/>
              </w:rPr>
            </w:pPr>
          </w:p>
        </w:tc>
        <w:tc>
          <w:tcPr>
            <w:tcW w:w="839" w:type="pct"/>
            <w:tcMar>
              <w:top w:w="0" w:type="dxa"/>
              <w:left w:w="108" w:type="dxa"/>
              <w:bottom w:w="0" w:type="dxa"/>
              <w:right w:w="108" w:type="dxa"/>
            </w:tcMar>
            <w:vAlign w:val="center"/>
          </w:tcPr>
          <w:p w14:paraId="5AF09359">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5A519213">
            <w:pPr>
              <w:pStyle w:val="38"/>
              <w:spacing w:after="0" w:line="240" w:lineRule="auto"/>
              <w:jc w:val="right"/>
              <w:rPr>
                <w:rFonts w:ascii="Arial" w:hAnsi="Arial" w:cs="Arial"/>
                <w:b/>
                <w:bCs/>
              </w:rPr>
            </w:pPr>
          </w:p>
        </w:tc>
      </w:tr>
    </w:tbl>
    <w:p w14:paraId="47BC69CC">
      <w:pPr>
        <w:pStyle w:val="19"/>
        <w:widowControl/>
        <w:tabs>
          <w:tab w:val="left" w:pos="426"/>
        </w:tabs>
        <w:autoSpaceDE/>
        <w:autoSpaceDN/>
        <w:spacing w:before="120" w:after="120" w:line="276" w:lineRule="auto"/>
        <w:ind w:left="0"/>
        <w:jc w:val="both"/>
        <w:rPr>
          <w:rFonts w:ascii="Arial" w:hAnsi="Arial" w:cs="Arial"/>
          <w:iCs/>
        </w:rPr>
      </w:pPr>
    </w:p>
    <w:p w14:paraId="320F4262">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14:paraId="0E727761">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14:paraId="585A8C8B">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14:paraId="24CE9534">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14:paraId="46714449">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14:paraId="391733F1">
      <w:pPr>
        <w:pStyle w:val="19"/>
        <w:widowControl/>
        <w:tabs>
          <w:tab w:val="left" w:pos="426"/>
        </w:tabs>
        <w:autoSpaceDE/>
        <w:autoSpaceDN/>
        <w:spacing w:before="120" w:after="120" w:line="276" w:lineRule="auto"/>
        <w:ind w:left="862"/>
        <w:jc w:val="both"/>
        <w:rPr>
          <w:rFonts w:ascii="Arial" w:hAnsi="Arial" w:cs="Arial"/>
          <w:bCs/>
        </w:rPr>
      </w:pPr>
    </w:p>
    <w:p w14:paraId="30E3A394">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14:paraId="68894C8D">
      <w:pPr>
        <w:pStyle w:val="19"/>
        <w:widowControl/>
        <w:numPr>
          <w:ilvl w:val="1"/>
          <w:numId w:val="3"/>
        </w:numPr>
        <w:tabs>
          <w:tab w:val="left" w:pos="426"/>
        </w:tabs>
        <w:autoSpaceDE/>
        <w:autoSpaceDN/>
        <w:spacing w:before="120" w:after="120" w:line="276" w:lineRule="auto"/>
        <w:ind w:left="0" w:firstLine="0"/>
        <w:jc w:val="both"/>
        <w:rPr>
          <w:rFonts w:ascii="Arial" w:hAnsi="Arial" w:cs="Arial"/>
          <w:bCs/>
          <w:i w:val="0"/>
          <w:iCs/>
          <w:color w:val="auto"/>
        </w:rPr>
      </w:pPr>
      <w:r>
        <w:rPr>
          <w:rFonts w:ascii="Arial" w:hAnsi="Arial" w:cs="Arial"/>
          <w:bCs/>
          <w:i w:val="0"/>
          <w:iCs/>
          <w:color w:val="auto"/>
        </w:rPr>
        <w:t xml:space="preserve">O prazo de vigência da contratação é de .............................. contados do(a) ............................., prorrogável por até 10 anos, na forma dos </w:t>
      </w:r>
      <w:r>
        <w:rPr>
          <w:i w:val="0"/>
          <w:iCs/>
          <w:color w:val="auto"/>
        </w:rPr>
        <w:fldChar w:fldCharType="begin"/>
      </w:r>
      <w:r>
        <w:rPr>
          <w:i w:val="0"/>
          <w:iCs/>
          <w:color w:val="auto"/>
        </w:rPr>
        <w:instrText xml:space="preserve"> HYPERLINK "http://www.planalto.gov.br/ccivil_03/_ato2019-2022/2021/lei/L14133.htm" \l "art106" </w:instrText>
      </w:r>
      <w:r>
        <w:rPr>
          <w:i w:val="0"/>
          <w:iCs/>
          <w:color w:val="auto"/>
        </w:rPr>
        <w:fldChar w:fldCharType="separate"/>
      </w:r>
      <w:r>
        <w:rPr>
          <w:rFonts w:ascii="Arial" w:hAnsi="Arial" w:cs="Arial"/>
          <w:bCs/>
          <w:i w:val="0"/>
          <w:iCs/>
          <w:color w:val="auto"/>
        </w:rPr>
        <w:t>artigos 106 e 107 da Lei n° 14.133, de 2021</w:t>
      </w:r>
      <w:r>
        <w:rPr>
          <w:rFonts w:ascii="Arial" w:hAnsi="Arial" w:cs="Arial"/>
          <w:bCs/>
          <w:i w:val="0"/>
          <w:iCs/>
          <w:color w:val="auto"/>
        </w:rPr>
        <w:fldChar w:fldCharType="end"/>
      </w:r>
      <w:r>
        <w:rPr>
          <w:rFonts w:ascii="Arial" w:hAnsi="Arial" w:cs="Arial"/>
          <w:bCs/>
          <w:i w:val="0"/>
          <w:iCs/>
          <w:color w:val="auto"/>
        </w:rPr>
        <w:t xml:space="preserve">. </w:t>
      </w:r>
    </w:p>
    <w:p w14:paraId="42385670">
      <w:pPr>
        <w:pStyle w:val="19"/>
        <w:widowControl/>
        <w:numPr>
          <w:ilvl w:val="1"/>
          <w:numId w:val="3"/>
        </w:numPr>
        <w:tabs>
          <w:tab w:val="left" w:pos="426"/>
        </w:tabs>
        <w:autoSpaceDE/>
        <w:autoSpaceDN/>
        <w:spacing w:before="120" w:after="120" w:line="276" w:lineRule="auto"/>
        <w:ind w:left="0" w:firstLine="0"/>
        <w:jc w:val="both"/>
        <w:rPr>
          <w:rFonts w:ascii="Arial" w:hAnsi="Arial" w:cs="Arial"/>
          <w:bCs/>
          <w:i w:val="0"/>
          <w:iCs/>
          <w:color w:val="auto"/>
        </w:rPr>
      </w:pPr>
      <w:r>
        <w:rPr>
          <w:rFonts w:ascii="Arial" w:hAnsi="Arial" w:cs="Arial"/>
          <w:bCs/>
          <w:i w:val="0"/>
          <w:iCs/>
          <w:color w:val="auto"/>
        </w:rPr>
        <w:t>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14:paraId="3CDD9C7C">
      <w:pPr>
        <w:pStyle w:val="19"/>
        <w:widowControl/>
        <w:numPr>
          <w:ilvl w:val="2"/>
          <w:numId w:val="3"/>
        </w:numPr>
        <w:tabs>
          <w:tab w:val="left" w:pos="426"/>
        </w:tabs>
        <w:autoSpaceDE/>
        <w:autoSpaceDN/>
        <w:spacing w:before="120" w:after="120" w:line="276" w:lineRule="auto"/>
        <w:jc w:val="both"/>
        <w:rPr>
          <w:rFonts w:ascii="Arial" w:hAnsi="Arial" w:cs="Arial"/>
          <w:bCs/>
          <w:i w:val="0"/>
          <w:iCs/>
          <w:color w:val="auto"/>
        </w:rPr>
      </w:pPr>
      <w:r>
        <w:rPr>
          <w:rFonts w:ascii="Arial" w:hAnsi="Arial" w:cs="Arial"/>
          <w:bCs/>
          <w:i w:val="0"/>
          <w:iCs/>
          <w:color w:val="auto"/>
        </w:rPr>
        <w:t>Estar formalmente demonstrado no processo que a forma de prestação dos serviços tem natureza continuada;</w:t>
      </w:r>
    </w:p>
    <w:p w14:paraId="1CC92467">
      <w:pPr>
        <w:pStyle w:val="19"/>
        <w:widowControl/>
        <w:numPr>
          <w:ilvl w:val="2"/>
          <w:numId w:val="3"/>
        </w:numPr>
        <w:tabs>
          <w:tab w:val="left" w:pos="426"/>
        </w:tabs>
        <w:autoSpaceDE/>
        <w:autoSpaceDN/>
        <w:spacing w:before="120" w:after="120" w:line="276" w:lineRule="auto"/>
        <w:jc w:val="both"/>
        <w:rPr>
          <w:rFonts w:ascii="Arial" w:hAnsi="Arial" w:cs="Arial"/>
          <w:bCs/>
          <w:i w:val="0"/>
          <w:iCs/>
          <w:color w:val="auto"/>
        </w:rPr>
      </w:pPr>
      <w:r>
        <w:rPr>
          <w:rFonts w:ascii="Arial" w:hAnsi="Arial" w:cs="Arial"/>
          <w:bCs/>
          <w:i w:val="0"/>
          <w:iCs/>
          <w:color w:val="auto"/>
        </w:rPr>
        <w:t xml:space="preserve">Seja juntado relatório que discorra sobre a execução do contrato, com informações de que os serviços tenham sido prestados regularmente;  </w:t>
      </w:r>
    </w:p>
    <w:p w14:paraId="6B8657B6">
      <w:pPr>
        <w:pStyle w:val="19"/>
        <w:widowControl/>
        <w:numPr>
          <w:ilvl w:val="2"/>
          <w:numId w:val="3"/>
        </w:numPr>
        <w:tabs>
          <w:tab w:val="left" w:pos="426"/>
        </w:tabs>
        <w:autoSpaceDE/>
        <w:autoSpaceDN/>
        <w:spacing w:before="120" w:after="120" w:line="276" w:lineRule="auto"/>
        <w:jc w:val="both"/>
        <w:rPr>
          <w:rFonts w:ascii="Arial" w:hAnsi="Arial" w:cs="Arial"/>
          <w:bCs/>
          <w:i w:val="0"/>
          <w:iCs/>
          <w:color w:val="auto"/>
        </w:rPr>
      </w:pPr>
      <w:r>
        <w:rPr>
          <w:rFonts w:ascii="Arial" w:hAnsi="Arial" w:cs="Arial"/>
          <w:bCs/>
          <w:i w:val="0"/>
          <w:iCs/>
          <w:color w:val="auto"/>
        </w:rPr>
        <w:t xml:space="preserve">Seja juntada justificativa e motivo, por escrito, de que a Administração mantém interesse na realização do serviço;  </w:t>
      </w:r>
    </w:p>
    <w:p w14:paraId="1BDFC839">
      <w:pPr>
        <w:pStyle w:val="19"/>
        <w:widowControl/>
        <w:numPr>
          <w:ilvl w:val="2"/>
          <w:numId w:val="3"/>
        </w:numPr>
        <w:tabs>
          <w:tab w:val="left" w:pos="426"/>
        </w:tabs>
        <w:autoSpaceDE/>
        <w:autoSpaceDN/>
        <w:spacing w:before="120" w:after="120" w:line="276" w:lineRule="auto"/>
        <w:jc w:val="both"/>
        <w:rPr>
          <w:rFonts w:ascii="Arial" w:hAnsi="Arial" w:cs="Arial"/>
          <w:bCs/>
          <w:i w:val="0"/>
          <w:iCs/>
          <w:color w:val="auto"/>
        </w:rPr>
      </w:pPr>
      <w:r>
        <w:rPr>
          <w:rFonts w:ascii="Arial" w:hAnsi="Arial" w:cs="Arial"/>
          <w:bCs/>
          <w:i w:val="0"/>
          <w:iCs/>
          <w:color w:val="auto"/>
        </w:rPr>
        <w:t xml:space="preserve">Haja manifestação expressa do contratado informando o interesse na prorrogação; </w:t>
      </w:r>
    </w:p>
    <w:p w14:paraId="7310E3C8">
      <w:pPr>
        <w:pStyle w:val="19"/>
        <w:widowControl/>
        <w:numPr>
          <w:ilvl w:val="2"/>
          <w:numId w:val="3"/>
        </w:numPr>
        <w:tabs>
          <w:tab w:val="left" w:pos="426"/>
        </w:tabs>
        <w:autoSpaceDE/>
        <w:autoSpaceDN/>
        <w:spacing w:before="120" w:after="120" w:line="276" w:lineRule="auto"/>
        <w:jc w:val="both"/>
        <w:rPr>
          <w:rFonts w:ascii="Arial" w:hAnsi="Arial" w:cs="Arial"/>
          <w:bCs/>
          <w:i w:val="0"/>
          <w:iCs/>
          <w:color w:val="auto"/>
        </w:rPr>
      </w:pPr>
      <w:r>
        <w:rPr>
          <w:rFonts w:ascii="Arial" w:hAnsi="Arial" w:cs="Arial"/>
          <w:bCs/>
          <w:i w:val="0"/>
          <w:iCs/>
          <w:color w:val="auto"/>
        </w:rPr>
        <w:t>Seja comprovado que o contratado mantém as condições iniciais de habilitação.</w:t>
      </w:r>
    </w:p>
    <w:p w14:paraId="27B1858E">
      <w:pPr>
        <w:pStyle w:val="19"/>
        <w:widowControl/>
        <w:numPr>
          <w:ilvl w:val="1"/>
          <w:numId w:val="3"/>
        </w:numPr>
        <w:tabs>
          <w:tab w:val="left" w:pos="426"/>
        </w:tabs>
        <w:autoSpaceDE/>
        <w:autoSpaceDN/>
        <w:spacing w:before="120" w:after="120" w:line="276" w:lineRule="auto"/>
        <w:ind w:left="0" w:firstLine="0"/>
        <w:jc w:val="both"/>
        <w:rPr>
          <w:rFonts w:ascii="Arial" w:hAnsi="Arial" w:cs="Arial"/>
          <w:bCs/>
          <w:i w:val="0"/>
          <w:iCs/>
          <w:color w:val="auto"/>
        </w:rPr>
      </w:pPr>
      <w:r>
        <w:rPr>
          <w:rFonts w:ascii="Arial" w:hAnsi="Arial" w:cs="Arial"/>
          <w:bCs/>
          <w:i w:val="0"/>
          <w:iCs/>
          <w:color w:val="auto"/>
        </w:rPr>
        <w:t>O contratado não tem direito subjetivo à prorrogação contratual.</w:t>
      </w:r>
    </w:p>
    <w:p w14:paraId="605D55A7">
      <w:pPr>
        <w:pStyle w:val="19"/>
        <w:widowControl/>
        <w:numPr>
          <w:ilvl w:val="1"/>
          <w:numId w:val="3"/>
        </w:numPr>
        <w:tabs>
          <w:tab w:val="left" w:pos="426"/>
        </w:tabs>
        <w:autoSpaceDE/>
        <w:autoSpaceDN/>
        <w:spacing w:before="120" w:after="120" w:line="276" w:lineRule="auto"/>
        <w:ind w:left="0" w:firstLine="0"/>
        <w:jc w:val="both"/>
        <w:rPr>
          <w:rFonts w:ascii="Arial" w:hAnsi="Arial" w:cs="Arial"/>
          <w:bCs/>
          <w:i w:val="0"/>
          <w:iCs/>
          <w:color w:val="auto"/>
        </w:rPr>
      </w:pPr>
      <w:r>
        <w:rPr>
          <w:rFonts w:ascii="Arial" w:hAnsi="Arial" w:cs="Arial"/>
          <w:bCs/>
          <w:i w:val="0"/>
          <w:iCs/>
          <w:color w:val="auto"/>
        </w:rPr>
        <w:t>A prorrogação de contrato deverá ser promovida mediante celebração de termo aditivo.</w:t>
      </w:r>
    </w:p>
    <w:p w14:paraId="76BC33BE">
      <w:pPr>
        <w:pStyle w:val="50"/>
        <w:numPr>
          <w:ilvl w:val="1"/>
          <w:numId w:val="3"/>
        </w:numPr>
        <w:rPr>
          <w:rFonts w:eastAsia="Verdana"/>
          <w:bCs/>
          <w:i w:val="0"/>
          <w:iCs/>
          <w:color w:val="auto"/>
          <w:sz w:val="22"/>
          <w:szCs w:val="22"/>
          <w:lang w:val="pt-PT" w:eastAsia="en-US"/>
        </w:rPr>
      </w:pPr>
      <w:r>
        <w:rPr>
          <w:rFonts w:eastAsia="Verdana"/>
          <w:bCs/>
          <w:i w:val="0"/>
          <w:iCs/>
          <w:color w:val="auto"/>
          <w:sz w:val="22"/>
          <w:szCs w:val="22"/>
          <w:lang w:val="pt-PT" w:eastAsia="en-US"/>
        </w:rPr>
        <w:t>Nas eventuais prorrogações contratuais, os custos não renováveis já pagos ou amortizados ao longo do primeiro período de vigência da contratação deverão ser reduzidos ou eliminados como condição para a renovação.</w:t>
      </w:r>
    </w:p>
    <w:p w14:paraId="77ABC2ED">
      <w:pPr>
        <w:pStyle w:val="19"/>
        <w:widowControl/>
        <w:numPr>
          <w:ilvl w:val="1"/>
          <w:numId w:val="3"/>
        </w:numPr>
        <w:tabs>
          <w:tab w:val="left" w:pos="426"/>
        </w:tabs>
        <w:autoSpaceDE/>
        <w:autoSpaceDN/>
        <w:spacing w:before="120" w:after="120" w:line="276" w:lineRule="auto"/>
        <w:ind w:left="0" w:firstLine="0"/>
        <w:jc w:val="both"/>
        <w:rPr>
          <w:rFonts w:ascii="Arial" w:hAnsi="Arial" w:cs="Arial"/>
          <w:bCs/>
          <w:i w:val="0"/>
          <w:iCs/>
          <w:color w:val="auto"/>
        </w:rPr>
      </w:pPr>
      <w:r>
        <w:rPr>
          <w:rFonts w:ascii="Arial" w:hAnsi="Arial" w:cs="Arial"/>
          <w:bCs/>
          <w:i w:val="0"/>
          <w:iCs/>
          <w:color w:val="auto"/>
        </w:rPr>
        <w:t>O contrato não poderá ser prorrogado quando o contratado tiver sido penalizado nas sanções de declaração de inidoneidade ou impedimento de licitar e contratar com poder público, observadas as abrangências de aplicação.</w:t>
      </w:r>
    </w:p>
    <w:p w14:paraId="3B7C54EB">
      <w:pPr>
        <w:pStyle w:val="19"/>
        <w:widowControl/>
        <w:tabs>
          <w:tab w:val="left" w:pos="426"/>
        </w:tabs>
        <w:autoSpaceDE/>
        <w:autoSpaceDN/>
        <w:spacing w:before="120" w:after="120" w:line="276" w:lineRule="auto"/>
        <w:ind w:left="0"/>
        <w:jc w:val="both"/>
        <w:rPr>
          <w:rFonts w:ascii="Arial" w:hAnsi="Arial" w:cs="Arial"/>
          <w:bCs/>
          <w:iCs/>
          <w:color w:val="FF0000"/>
        </w:rPr>
      </w:pPr>
    </w:p>
    <w:p w14:paraId="0FC100CD">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14:paraId="20E6EC32">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 w:val="0"/>
          <w:iCs/>
          <w:color w:val="auto"/>
          <w:u w:val="single"/>
        </w:rPr>
        <w:t>DAS CONDIÇÕES PARA EXECUÇÃO DO OBJETO E MEDIÇÕES DOS SERVIÇOS</w:t>
      </w:r>
      <w:r>
        <w:rPr>
          <w:rFonts w:hint="default" w:ascii="Arial" w:hAnsi="Arial" w:cs="Arial"/>
          <w:bCs/>
          <w:i w:val="0"/>
          <w:iCs/>
          <w:color w:val="auto"/>
          <w:u w:val="single"/>
          <w:lang w:val="pt-BR"/>
        </w:rPr>
        <w:t>:</w:t>
      </w:r>
    </w:p>
    <w:p w14:paraId="55FFEB2B">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3.1</w:t>
      </w:r>
      <w:r>
        <w:rPr>
          <w:rFonts w:ascii="Arial" w:hAnsi="Arial" w:cs="Arial"/>
          <w:bCs/>
          <w:iCs/>
          <w:color w:val="auto"/>
        </w:rPr>
        <w:t>.1. Na execução dos serviços, deverá haver emissão, pela Contratada, de memória onde fique especificado, dimensionado e situado o serviço realizado, com localização clara dos itens através de croquis e/ou registros fotográficos do local e toda documentação comprobatória da execução dos serviços que se fizer necessária, com vistas a permitir a efetivação das medições, anexando-se estes documentos aos autos do processo administrativo de pagamento do objeto licitado.</w:t>
      </w:r>
    </w:p>
    <w:p w14:paraId="467CB70F">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3.1.2</w:t>
      </w:r>
      <w:r>
        <w:rPr>
          <w:rFonts w:ascii="Arial" w:hAnsi="Arial" w:cs="Arial"/>
          <w:bCs/>
          <w:iCs/>
          <w:color w:val="auto"/>
        </w:rPr>
        <w:t xml:space="preserve"> </w:t>
      </w:r>
      <w:r>
        <w:rPr>
          <w:rFonts w:ascii="Arial" w:hAnsi="Arial" w:cs="Arial"/>
          <w:bCs/>
          <w:iCs/>
          <w:color w:val="auto"/>
        </w:rPr>
        <w:tab/>
      </w:r>
      <w:r>
        <w:rPr>
          <w:rFonts w:ascii="Arial" w:hAnsi="Arial" w:cs="Arial"/>
          <w:bCs/>
          <w:iCs/>
          <w:color w:val="auto"/>
        </w:rPr>
        <w:t xml:space="preserve">A contratada deverá manter relatório completo e atualizado acerca da execução dos serviços, indicando origem do material constante dos manifestos, data e volume recebidos, o qual deverá ser disponibilizado à fiscalização em até 48horas, sempre que solicitado. </w:t>
      </w:r>
    </w:p>
    <w:p w14:paraId="3F76C610">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3.1.3</w:t>
      </w:r>
      <w:r>
        <w:rPr>
          <w:rFonts w:ascii="Arial" w:hAnsi="Arial" w:cs="Arial"/>
          <w:bCs/>
          <w:iCs/>
          <w:color w:val="auto"/>
        </w:rPr>
        <w:t>.</w:t>
      </w:r>
      <w:r>
        <w:rPr>
          <w:rFonts w:ascii="Arial" w:hAnsi="Arial" w:cs="Arial"/>
          <w:bCs/>
          <w:iCs/>
          <w:color w:val="auto"/>
        </w:rPr>
        <w:tab/>
      </w:r>
      <w:r>
        <w:rPr>
          <w:rFonts w:ascii="Arial" w:hAnsi="Arial" w:cs="Arial"/>
          <w:bCs/>
          <w:iCs/>
          <w:color w:val="auto"/>
        </w:rPr>
        <w:t>Os pagamentos em favor da contratada serão realizados de acordo com as medições apresentadas mensalmente, as quais levarão em conta o quantitativo (volume/peso) do material recebido e espalhado.</w:t>
      </w:r>
    </w:p>
    <w:p w14:paraId="7772D3D3">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3.1.4</w:t>
      </w:r>
      <w:r>
        <w:rPr>
          <w:rFonts w:ascii="Arial" w:hAnsi="Arial" w:cs="Arial"/>
          <w:bCs/>
          <w:iCs/>
          <w:color w:val="auto"/>
        </w:rPr>
        <w:t>. Os serviços serão demandados à futura contratada com antecedência de 24h e deverão ser iniciados às 08:00 da manhã, preferencialmente em dias de semana, podendo ser solicitado aos finais de semana em situações excepcionais.</w:t>
      </w:r>
    </w:p>
    <w:p w14:paraId="14EB3E23">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3.1.5</w:t>
      </w:r>
      <w:r>
        <w:rPr>
          <w:rFonts w:ascii="Arial" w:hAnsi="Arial" w:cs="Arial"/>
          <w:bCs/>
          <w:iCs/>
          <w:color w:val="auto"/>
        </w:rPr>
        <w:t xml:space="preserve"> As quantidades mínimas diária, semanal ou mensal serão determinadas a critério da fiscalização, conforme demanda.</w:t>
      </w:r>
    </w:p>
    <w:p w14:paraId="350B28BD">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 xml:space="preserve">3.1.6 </w:t>
      </w:r>
      <w:r>
        <w:rPr>
          <w:rFonts w:ascii="Arial" w:hAnsi="Arial" w:cs="Arial"/>
          <w:bCs/>
          <w:iCs/>
          <w:color w:val="auto"/>
        </w:rPr>
        <w:t xml:space="preserve"> </w:t>
      </w:r>
      <w:r>
        <w:rPr>
          <w:rFonts w:ascii="Arial" w:hAnsi="Arial" w:cs="Arial"/>
          <w:b/>
          <w:bCs w:val="0"/>
          <w:iCs/>
          <w:color w:val="auto"/>
        </w:rPr>
        <w:t>Natureza da Contratação:</w:t>
      </w:r>
      <w:r>
        <w:rPr>
          <w:rFonts w:ascii="Arial" w:hAnsi="Arial" w:cs="Arial"/>
          <w:bCs/>
          <w:iCs/>
          <w:color w:val="auto"/>
        </w:rPr>
        <w:t xml:space="preserve"> Importa registro que o serviço a ser contratado é de execução continuada, tendo em vista que sua paralisação, acaso ocorra, acarretará incalculável prejuízo ao bom andamento das atividades de competência desta Secretaria de Infraestrutura e Obras, conforme orientação contida no Item 3.3, “b”, anexo III, da IN nº 05/2017 e art. 15 da mesma norma, a seguir colacionado:</w:t>
      </w:r>
    </w:p>
    <w:p w14:paraId="08536FBB">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ascii="Arial" w:hAnsi="Arial" w:cs="Arial"/>
          <w:bCs/>
          <w:iCs/>
          <w:color w:val="auto"/>
        </w:rPr>
        <w:t>Art. 15. Os serviços prestados de forma contínua são aqueles que, pela sua essencialidade, visam atender à necessidade pública de forma permanente e contínua, por mais de um exercício financeiro, assegurando a integridade do patrimônio público ou o funcionamento das atividades finalísticas do órgão ou entidade, de modo que sua interrupção possa comprometer a prestação de um serviço público ou o cumprimento da missão institucional.</w:t>
      </w:r>
    </w:p>
    <w:p w14:paraId="58CB56E2">
      <w:pPr>
        <w:pStyle w:val="19"/>
        <w:widowControl/>
        <w:numPr>
          <w:ilvl w:val="0"/>
          <w:numId w:val="0"/>
        </w:numPr>
        <w:tabs>
          <w:tab w:val="left" w:pos="426"/>
        </w:tabs>
        <w:autoSpaceDE/>
        <w:autoSpaceDN/>
        <w:spacing w:before="120" w:after="120" w:line="276" w:lineRule="auto"/>
        <w:ind w:leftChars="0"/>
        <w:jc w:val="both"/>
        <w:rPr>
          <w:rFonts w:ascii="Arial" w:hAnsi="Arial" w:cs="Arial"/>
          <w:b/>
          <w:bCs w:val="0"/>
          <w:iCs/>
          <w:color w:val="auto"/>
        </w:rPr>
      </w:pPr>
      <w:r>
        <w:rPr>
          <w:rFonts w:hint="default" w:ascii="Arial" w:hAnsi="Arial" w:cs="Arial"/>
          <w:bCs/>
          <w:iCs/>
          <w:color w:val="auto"/>
          <w:lang w:val="pt-BR"/>
        </w:rPr>
        <w:t>3.2</w:t>
      </w:r>
      <w:r>
        <w:rPr>
          <w:rFonts w:ascii="Arial" w:hAnsi="Arial" w:cs="Arial"/>
          <w:bCs/>
          <w:iCs/>
          <w:color w:val="auto"/>
        </w:rPr>
        <w:t xml:space="preserve">. </w:t>
      </w:r>
      <w:r>
        <w:rPr>
          <w:rFonts w:ascii="Arial" w:hAnsi="Arial" w:cs="Arial"/>
          <w:b/>
          <w:bCs w:val="0"/>
          <w:iCs/>
          <w:color w:val="auto"/>
        </w:rPr>
        <w:t>Condições Mínimas para a Contratação:</w:t>
      </w:r>
    </w:p>
    <w:p w14:paraId="0B65D336">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
          <w:bCs w:val="0"/>
          <w:iCs/>
          <w:color w:val="auto"/>
          <w:lang w:val="pt-BR"/>
        </w:rPr>
        <w:t>3.2.1</w:t>
      </w:r>
      <w:r>
        <w:rPr>
          <w:rFonts w:ascii="Arial" w:hAnsi="Arial" w:cs="Arial"/>
          <w:bCs/>
          <w:iCs/>
          <w:color w:val="auto"/>
        </w:rPr>
        <w:tab/>
      </w:r>
      <w:r>
        <w:rPr>
          <w:rFonts w:ascii="Arial" w:hAnsi="Arial" w:cs="Arial"/>
          <w:b/>
          <w:bCs w:val="0"/>
          <w:iCs/>
          <w:color w:val="auto"/>
        </w:rPr>
        <w:t>O licitante deverá comprovar, na fase de habilitação, que os serviços de bota-fora a serem contratados disponham de todas as licenças ambientais correlatas, em nome da empresa ou do(s) titular(es) da(s) área(s) a ser(em) utilizada(s), demonstrando, neste último caso, vinculação contratual com a licitante, devendo ainda o(s) local(is) de bota-fora para recebimento dos materiais se encontrar(em) dentro dos limites territoriais do Município de Nova Friburgo – o que deverá ser identificado na fase de HABILITAÇÃO – CAPACIDADE OPERACIONAL. (A soma das licenças dos bota-foras deve atingir, pelo menos, 50% do montante a ser registrado, na forma do art. 67, §2º, da L.14.133/2021)</w:t>
      </w:r>
    </w:p>
    <w:p w14:paraId="0300196A">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3.2.2</w:t>
      </w:r>
      <w:r>
        <w:rPr>
          <w:rFonts w:ascii="Arial" w:hAnsi="Arial" w:cs="Arial"/>
          <w:bCs/>
          <w:iCs/>
          <w:color w:val="auto"/>
        </w:rPr>
        <w:tab/>
      </w:r>
      <w:r>
        <w:rPr>
          <w:rFonts w:ascii="Arial" w:hAnsi="Arial" w:cs="Arial"/>
          <w:bCs/>
          <w:iCs/>
          <w:color w:val="auto"/>
        </w:rPr>
        <w:t>A contratada deverá atender à regulamentação que estabelece a metodologia do serviço a ser executado, na forma da Norma Operacional para o Sistema Online de Manifesto de Transporte de Resíduos (NOP Inea 35 – Sistema MTR), aprovada pela Resolução Conema nº 79, ou outra que vier a substituí-la ou alterá-la, a qual estabelece as condições de controle da geração, transporte e destinação adequados de resíduos no Estado do Rio de Janeiro, bem como atender à norma NOP-INEA- de emissão de fumaça preta por veículos automotores do ciclo diesel, aprovada pela resolução CONEMA nº. 58 de 13.12.2013.</w:t>
      </w:r>
    </w:p>
    <w:p w14:paraId="1BE3A787">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3.2.3</w:t>
      </w:r>
      <w:r>
        <w:rPr>
          <w:rFonts w:ascii="Arial" w:hAnsi="Arial" w:cs="Arial"/>
          <w:bCs/>
          <w:iCs/>
          <w:color w:val="auto"/>
        </w:rPr>
        <w:tab/>
      </w:r>
      <w:r>
        <w:rPr>
          <w:rFonts w:ascii="Arial" w:hAnsi="Arial" w:cs="Arial"/>
          <w:bCs/>
          <w:iCs/>
          <w:color w:val="auto"/>
        </w:rPr>
        <w:t>A Contratada deverá disponibilizar os equipamentos e o que mais se fizer necessário para a execução integral dos serviços, devendo o equipamento, combustível, e ferramentas estarem em perfeitas condições de limpeza, uso e manutenção, obrigando-se a Contratada a substituir em até 72horas aqueles que não atenderem às exigências, mediante notificação da fiscalização;</w:t>
      </w:r>
    </w:p>
    <w:p w14:paraId="47A93C5A">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3.2.4</w:t>
      </w:r>
      <w:r>
        <w:rPr>
          <w:rFonts w:ascii="Arial" w:hAnsi="Arial" w:cs="Arial"/>
          <w:bCs/>
          <w:iCs/>
          <w:color w:val="auto"/>
        </w:rPr>
        <w:tab/>
      </w:r>
      <w:r>
        <w:rPr>
          <w:rFonts w:ascii="Arial" w:hAnsi="Arial" w:cs="Arial"/>
          <w:bCs/>
          <w:iCs/>
          <w:color w:val="auto"/>
        </w:rPr>
        <w:t>A empresa vencedora do certame ficará obrigada a apresentar cópia dos documentos do equipamento empregado na execução do contrato, os quais deverão ser entregues sempre que solicitado pela fiscalização, no prazo máximo de 05 (cinco) dias;</w:t>
      </w:r>
    </w:p>
    <w:p w14:paraId="606FBCE4">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3.2.5</w:t>
      </w:r>
      <w:r>
        <w:rPr>
          <w:rFonts w:ascii="Arial" w:hAnsi="Arial" w:cs="Arial"/>
          <w:bCs/>
          <w:iCs/>
          <w:color w:val="auto"/>
        </w:rPr>
        <w:tab/>
      </w:r>
      <w:r>
        <w:rPr>
          <w:rFonts w:ascii="Arial" w:hAnsi="Arial" w:cs="Arial"/>
          <w:bCs/>
          <w:iCs/>
          <w:color w:val="auto"/>
        </w:rPr>
        <w:t>A empresa vencedora do certame ficará obrigada a apresentar cópia dos documentos referentes ao licenciamento de cada local de bota-fora utilizado na execução do contrato, os quais deverão ser entregues sempre que solicitado pela fiscalização, no prazo máximo de 24 horas;</w:t>
      </w:r>
    </w:p>
    <w:p w14:paraId="7F358086">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3.2</w:t>
      </w:r>
      <w:r>
        <w:rPr>
          <w:rFonts w:ascii="Arial" w:hAnsi="Arial" w:cs="Arial"/>
          <w:bCs/>
          <w:iCs/>
          <w:color w:val="auto"/>
        </w:rPr>
        <w:t>.6.</w:t>
      </w:r>
      <w:r>
        <w:rPr>
          <w:rFonts w:ascii="Arial" w:hAnsi="Arial" w:cs="Arial"/>
          <w:bCs/>
          <w:iCs/>
          <w:color w:val="auto"/>
        </w:rPr>
        <w:tab/>
      </w:r>
      <w:r>
        <w:rPr>
          <w:rFonts w:ascii="Arial" w:hAnsi="Arial" w:cs="Arial"/>
          <w:bCs/>
          <w:iCs/>
          <w:color w:val="auto"/>
        </w:rPr>
        <w:t>Os locais onde serão realizados os serviços deverão estar devidamente sinalizados em acordo com as normas vigentes, devendo ser tomadas todas as medidas para garantir a segurança dos trabalhadores, pedestres e demais usuários das vias.</w:t>
      </w:r>
    </w:p>
    <w:p w14:paraId="417F7098">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3.2.</w:t>
      </w:r>
      <w:r>
        <w:rPr>
          <w:rFonts w:ascii="Arial" w:hAnsi="Arial" w:cs="Arial"/>
          <w:bCs/>
          <w:iCs/>
          <w:color w:val="auto"/>
        </w:rPr>
        <w:t>7.</w:t>
      </w:r>
      <w:r>
        <w:rPr>
          <w:rFonts w:ascii="Arial" w:hAnsi="Arial" w:cs="Arial"/>
          <w:bCs/>
          <w:iCs/>
          <w:color w:val="auto"/>
        </w:rPr>
        <w:tab/>
      </w:r>
      <w:r>
        <w:rPr>
          <w:rFonts w:ascii="Arial" w:hAnsi="Arial" w:cs="Arial"/>
          <w:bCs/>
          <w:iCs/>
          <w:color w:val="auto"/>
        </w:rPr>
        <w:t>A Contratada deverá fornecer e exigir dos seus funcionários o uso de uniformes, bem como de todos os equipamentos de segurança previstos na legislação em vigor, além dos que forem solicitados pela fiscalização mediante indicação prévia do setor próprio da Administração de medicina e segurança do trabalho.</w:t>
      </w:r>
    </w:p>
    <w:p w14:paraId="42909602">
      <w:pPr>
        <w:pStyle w:val="19"/>
        <w:widowControl/>
        <w:numPr>
          <w:ilvl w:val="0"/>
          <w:numId w:val="0"/>
        </w:numPr>
        <w:tabs>
          <w:tab w:val="left" w:pos="426"/>
        </w:tabs>
        <w:autoSpaceDE/>
        <w:autoSpaceDN/>
        <w:spacing w:before="120" w:after="120" w:line="276" w:lineRule="auto"/>
        <w:ind w:leftChars="0"/>
        <w:jc w:val="both"/>
        <w:rPr>
          <w:rFonts w:ascii="Arial" w:hAnsi="Arial" w:cs="Arial"/>
          <w:b/>
          <w:bCs w:val="0"/>
          <w:iCs/>
          <w:color w:val="auto"/>
        </w:rPr>
      </w:pPr>
      <w:r>
        <w:rPr>
          <w:rFonts w:hint="default" w:ascii="Arial" w:hAnsi="Arial" w:cs="Arial"/>
          <w:b/>
          <w:bCs w:val="0"/>
          <w:iCs/>
          <w:color w:val="auto"/>
          <w:lang w:val="pt-BR"/>
        </w:rPr>
        <w:t>3.2</w:t>
      </w:r>
      <w:r>
        <w:rPr>
          <w:rFonts w:ascii="Arial" w:hAnsi="Arial" w:cs="Arial"/>
          <w:b/>
          <w:bCs w:val="0"/>
          <w:iCs/>
          <w:color w:val="auto"/>
        </w:rPr>
        <w:t>.8. A contratada será integralmente responsável pela manutenção das condições ambientais correlatas às licenças dos respectivos terrenos onde serão realizadas as disposições finais, responsabilizando-se pessoalmente pelo passivo ambiental decorrente da disposição final dos resíduos a ela destinados pela contratante.</w:t>
      </w:r>
    </w:p>
    <w:p w14:paraId="0D3030DF">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3.3</w:t>
      </w:r>
      <w:r>
        <w:rPr>
          <w:rFonts w:hint="default" w:ascii="Arial" w:hAnsi="Arial" w:cs="Arial"/>
          <w:bCs/>
          <w:iCs/>
          <w:color w:val="auto"/>
          <w:u w:val="single"/>
          <w:lang w:val="pt-BR"/>
        </w:rPr>
        <w:t xml:space="preserve"> </w:t>
      </w:r>
      <w:r>
        <w:rPr>
          <w:rFonts w:ascii="Arial" w:hAnsi="Arial" w:cs="Arial"/>
          <w:bCs/>
          <w:iCs/>
          <w:color w:val="auto"/>
          <w:u w:val="single"/>
        </w:rPr>
        <w:t>DA GESTÃO DO CONTRATO</w:t>
      </w:r>
      <w:r>
        <w:rPr>
          <w:rFonts w:hint="default" w:ascii="Arial" w:hAnsi="Arial" w:cs="Arial"/>
          <w:bCs/>
          <w:iCs/>
          <w:color w:val="auto"/>
          <w:u w:val="single"/>
          <w:lang w:val="pt-BR"/>
        </w:rPr>
        <w:t>:</w:t>
      </w:r>
    </w:p>
    <w:p w14:paraId="0CCF8294">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3.3</w:t>
      </w:r>
      <w:r>
        <w:rPr>
          <w:rFonts w:ascii="Arial" w:hAnsi="Arial" w:cs="Arial"/>
          <w:bCs/>
          <w:iCs/>
          <w:color w:val="auto"/>
        </w:rPr>
        <w:t xml:space="preserve">.1. O Contrato deverá ser executado fielmente pelas partes, de acordo com as cláusulas avençadas, as normas da </w:t>
      </w:r>
      <w:r>
        <w:rPr>
          <w:rFonts w:ascii="Arial" w:hAnsi="Arial" w:cs="Arial"/>
          <w:bCs/>
          <w:iCs/>
          <w:color w:val="auto"/>
        </w:rPr>
        <w:fldChar w:fldCharType="begin"/>
      </w:r>
      <w:r>
        <w:rPr>
          <w:rFonts w:ascii="Arial" w:hAnsi="Arial" w:cs="Arial"/>
          <w:bCs/>
          <w:iCs/>
          <w:color w:val="auto"/>
        </w:rPr>
        <w:instrText xml:space="preserve"> HYPERLINK "http://www.planalto.gov.br/ccivil_03/_ato2019-2022/2021/lei/L14133.htm" \h </w:instrText>
      </w:r>
      <w:r>
        <w:rPr>
          <w:rFonts w:ascii="Arial" w:hAnsi="Arial" w:cs="Arial"/>
          <w:bCs/>
          <w:iCs/>
          <w:color w:val="auto"/>
        </w:rPr>
        <w:fldChar w:fldCharType="separate"/>
      </w:r>
      <w:r>
        <w:rPr>
          <w:rFonts w:ascii="Arial" w:hAnsi="Arial" w:cs="Arial"/>
          <w:bCs/>
          <w:iCs/>
          <w:color w:val="auto"/>
        </w:rPr>
        <w:t>Lei Federal nº 14.133, de 2021</w:t>
      </w:r>
      <w:r>
        <w:rPr>
          <w:rFonts w:ascii="Arial" w:hAnsi="Arial" w:cs="Arial"/>
          <w:bCs/>
          <w:iCs/>
          <w:color w:val="auto"/>
        </w:rPr>
        <w:fldChar w:fldCharType="end"/>
      </w:r>
      <w:r>
        <w:rPr>
          <w:rFonts w:ascii="Arial" w:hAnsi="Arial" w:cs="Arial"/>
          <w:bCs/>
          <w:iCs/>
          <w:color w:val="auto"/>
        </w:rPr>
        <w:t xml:space="preserve"> e a legislação residual incidente, e cada parte responderá pelas consequências de sua inexecução total ou parcial. Após solicitação formalizada pelo fiscal, com a despesa devidamente empenhada, a contratada deverá disponibilizar os serviços de bota fora, em quantidades suficientes ao atendimento das demandas do Município, em um prazo de até 24 horas.</w:t>
      </w:r>
    </w:p>
    <w:p w14:paraId="6384F167">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3.3.</w:t>
      </w:r>
      <w:r>
        <w:rPr>
          <w:rFonts w:ascii="Arial" w:hAnsi="Arial" w:cs="Arial"/>
          <w:bCs/>
          <w:iCs/>
          <w:color w:val="auto"/>
        </w:rPr>
        <w:t xml:space="preserve">2. Em caso de impedimento, ordem de paralisação ou suspensão do contrato, seu prazo de vigência será prorrogado automaticamente pelo tempo correspondente. Com o esgotamento do saldo contratual empenhado, entender-se-á por extinto o contrato decorrente da Ata de Registro de Preços, independente da existência de prazo superveniente, quando poderá então ser firmado novo contrato caso a ARP ainda disponha de saldo e guarde vigência. </w:t>
      </w:r>
    </w:p>
    <w:p w14:paraId="40562A14">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3.3</w:t>
      </w:r>
      <w:r>
        <w:rPr>
          <w:rFonts w:ascii="Arial" w:hAnsi="Arial" w:cs="Arial"/>
          <w:bCs/>
          <w:iCs/>
          <w:color w:val="auto"/>
        </w:rPr>
        <w:t>.3. As comunicações entre o órgão ou entidade e a Contratada deverão ser realizadas por escrito, sempre que o ato exigir tal formalidade, admitindo-se o uso de mensagem eletrônica para esse fim.</w:t>
      </w:r>
    </w:p>
    <w:p w14:paraId="40EB29E5">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3.3</w:t>
      </w:r>
      <w:r>
        <w:rPr>
          <w:rFonts w:ascii="Arial" w:hAnsi="Arial" w:cs="Arial"/>
          <w:bCs/>
          <w:iCs/>
          <w:color w:val="auto"/>
        </w:rPr>
        <w:t>.4. O órgão ou entidade poderá convocar representante da empresa para adoção de providências que devam ser cumpridas de imediato.</w:t>
      </w:r>
    </w:p>
    <w:p w14:paraId="278F1F2F">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3.3</w:t>
      </w:r>
      <w:r>
        <w:rPr>
          <w:rFonts w:ascii="Arial" w:hAnsi="Arial" w:cs="Arial"/>
          <w:bCs/>
          <w:iCs/>
          <w:color w:val="auto"/>
        </w:rPr>
        <w:t>.5. Após a assinatura do Contrato ou instrumento equivalente, o órgão ou entidade poderá convocar o representante da Contratada para reunião inicial com vistas 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3E591B21">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3.3</w:t>
      </w:r>
      <w:r>
        <w:rPr>
          <w:rFonts w:ascii="Arial" w:hAnsi="Arial" w:cs="Arial"/>
          <w:bCs/>
          <w:iCs/>
          <w:color w:val="auto"/>
        </w:rPr>
        <w:t>.6. A execução do Contrato deverá ser acompanhada e fiscalizada pelo(s) fiscal(is) do Contrato, ou pelos respectivos substitutos, a serem indicados pela Secretaria Municipal de Infraestrutura e Obras no momento oportuno, após ratificação da Ata de Registro de Preços e/ou contrato dela decorrente, mediante publicação de Ordem de Serviço no Diário Oficial Eletrônico do Município, observado o art. 117 da Lei Federal n.º 14.133/2021.</w:t>
      </w:r>
    </w:p>
    <w:p w14:paraId="77963E14">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3.3</w:t>
      </w:r>
      <w:r>
        <w:rPr>
          <w:rFonts w:ascii="Arial" w:hAnsi="Arial" w:cs="Arial"/>
          <w:bCs/>
          <w:iCs/>
          <w:color w:val="auto"/>
        </w:rPr>
        <w:t>.7. O fiscal técnico do Contrato acompanhará a sua execução, para que sejam cumpridas todas as condições nele estabelecidas, de modo a assegurar os melhores resultados para a Administração Pública.</w:t>
      </w:r>
    </w:p>
    <w:p w14:paraId="638D9271">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3.3</w:t>
      </w:r>
      <w:r>
        <w:rPr>
          <w:rFonts w:ascii="Arial" w:hAnsi="Arial" w:cs="Arial"/>
          <w:bCs/>
          <w:iCs/>
          <w:color w:val="auto"/>
        </w:rPr>
        <w:t>.8. O fiscal técnico do Contrato anotará no histórico de gerenciamento todas as ocorrências relacionadas à execução contratual, com a descrição do que for necessário para a regularização das faltas ou dos defeitos observados, observado o art. 117 da Lei Federal n.º 14.133/2021.</w:t>
      </w:r>
    </w:p>
    <w:p w14:paraId="7F48D37C">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3.3</w:t>
      </w:r>
      <w:r>
        <w:rPr>
          <w:rFonts w:ascii="Arial" w:hAnsi="Arial" w:cs="Arial"/>
          <w:bCs/>
          <w:iCs/>
          <w:color w:val="auto"/>
        </w:rPr>
        <w:t>.9. Identificada qualquer inexatidão ou irregularidade, o fiscal técnico do Contrato emitirá notificações para a correção da execução contratual, determinando prazo para a correção.</w:t>
      </w:r>
    </w:p>
    <w:p w14:paraId="47C487DC">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3.3.</w:t>
      </w:r>
      <w:r>
        <w:rPr>
          <w:rFonts w:ascii="Arial" w:hAnsi="Arial" w:cs="Arial"/>
          <w:bCs/>
          <w:iCs/>
          <w:color w:val="auto"/>
        </w:rPr>
        <w:t>10. O fiscal técnico do Contrato informará ao gestor, em tempo hábil, a situação que demandar decisão ou adoção de medidas que ultrapassem sua competência, para que adote as medidas necessárias e saneadoras, se for o caso.</w:t>
      </w:r>
    </w:p>
    <w:p w14:paraId="729A0D54">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3.3</w:t>
      </w:r>
      <w:r>
        <w:rPr>
          <w:rFonts w:ascii="Arial" w:hAnsi="Arial" w:cs="Arial"/>
          <w:bCs/>
          <w:iCs/>
          <w:color w:val="auto"/>
        </w:rPr>
        <w:t xml:space="preserve">.11. No caso de ocorrências que possam inviabilizar a execução contratual nas datas aprazadas, o fiscal técnico do Contrato comunicará o fato imediatamente ao gestor. </w:t>
      </w:r>
    </w:p>
    <w:p w14:paraId="259921CF">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3.3.</w:t>
      </w:r>
      <w:r>
        <w:rPr>
          <w:rFonts w:ascii="Arial" w:hAnsi="Arial" w:cs="Arial"/>
          <w:bCs/>
          <w:iCs/>
          <w:color w:val="auto"/>
        </w:rPr>
        <w:t>12. O fiscal técnico do Contrato comunicará ao gestor, em tempo hábil, o término do Contrato sob sua responsabilidade, com vistas à tempestiva renovação ou à prorrogação contratual.</w:t>
      </w:r>
    </w:p>
    <w:p w14:paraId="299A17E4">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3.3</w:t>
      </w:r>
      <w:r>
        <w:rPr>
          <w:rFonts w:ascii="Arial" w:hAnsi="Arial" w:cs="Arial"/>
          <w:bCs/>
          <w:iCs/>
          <w:color w:val="auto"/>
        </w:rPr>
        <w:t>.13. O gestor do Contrato acompanhará os registros realizados pelos fiscais, de todas as ocorrências relacionadas à execução contratual e as medidas adotadas, informando, se for o caso, à autoridade superior àquelas que ultrapassarem a sua competência.</w:t>
      </w:r>
    </w:p>
    <w:p w14:paraId="09CA4BD1">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3.3.</w:t>
      </w:r>
      <w:r>
        <w:rPr>
          <w:rFonts w:ascii="Arial" w:hAnsi="Arial" w:cs="Arial"/>
          <w:bCs/>
          <w:iCs/>
          <w:color w:val="auto"/>
        </w:rPr>
        <w:t>14.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01ACEDDA">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3.3</w:t>
      </w:r>
      <w:r>
        <w:rPr>
          <w:rFonts w:ascii="Arial" w:hAnsi="Arial" w:cs="Arial"/>
          <w:bCs/>
          <w:iCs/>
          <w:color w:val="auto"/>
        </w:rPr>
        <w:t>.15. Caso ocorra descumprimento das obrigações contratuais, o fiscal administrativo do Contrato atuará tempestivamente na solução do problema, reportando ao gestor, para que tome as providências cabíveis, quando ultrapassar a sua competência.</w:t>
      </w:r>
    </w:p>
    <w:p w14:paraId="052C94F9">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3.3</w:t>
      </w:r>
      <w:r>
        <w:rPr>
          <w:rFonts w:ascii="Arial" w:hAnsi="Arial" w:cs="Arial"/>
          <w:bCs/>
          <w:iCs/>
          <w:color w:val="auto"/>
        </w:rPr>
        <w:t xml:space="preserve">.16. O gestor do Contrato coordenará a atualização do processo de acompanhamento e fiscalização,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4E99076B">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3.3</w:t>
      </w:r>
      <w:r>
        <w:rPr>
          <w:rFonts w:ascii="Arial" w:hAnsi="Arial" w:cs="Arial"/>
          <w:bCs/>
          <w:iCs/>
          <w:color w:val="auto"/>
        </w:rPr>
        <w:t>.17. 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272A94CD">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3.3</w:t>
      </w:r>
      <w:r>
        <w:rPr>
          <w:rFonts w:ascii="Arial" w:hAnsi="Arial" w:cs="Arial"/>
          <w:bCs/>
          <w:iCs/>
          <w:color w:val="auto"/>
        </w:rPr>
        <w:t>.18.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095FD9DF">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3.3.</w:t>
      </w:r>
      <w:r>
        <w:rPr>
          <w:rFonts w:ascii="Arial" w:hAnsi="Arial" w:cs="Arial"/>
          <w:bCs/>
          <w:iCs/>
          <w:color w:val="auto"/>
        </w:rPr>
        <w:t xml:space="preserve">19. O gestor do Contrato tomará providências para a formalização de processo administrativo de responsabilização com vistas à aplicação de sanções, a ser conduzido pela comissão de que trata o </w:t>
      </w:r>
      <w:r>
        <w:rPr>
          <w:rFonts w:ascii="Arial" w:hAnsi="Arial" w:cs="Arial"/>
          <w:bCs/>
          <w:iCs/>
          <w:color w:val="auto"/>
        </w:rPr>
        <w:fldChar w:fldCharType="begin"/>
      </w:r>
      <w:r>
        <w:rPr>
          <w:rFonts w:ascii="Arial" w:hAnsi="Arial" w:cs="Arial"/>
          <w:bCs/>
          <w:iCs/>
          <w:color w:val="auto"/>
        </w:rPr>
        <w:instrText xml:space="preserve"> HYPERLINK "https://www.planalto.gov.br/ccivil_03/_ato2019-2022/2021/lei/l14133.htm" \l "art158" </w:instrText>
      </w:r>
      <w:r>
        <w:rPr>
          <w:rFonts w:ascii="Arial" w:hAnsi="Arial" w:cs="Arial"/>
          <w:bCs/>
          <w:iCs/>
          <w:color w:val="auto"/>
        </w:rPr>
        <w:fldChar w:fldCharType="separate"/>
      </w:r>
      <w:r>
        <w:rPr>
          <w:rFonts w:ascii="Arial" w:hAnsi="Arial" w:cs="Arial"/>
          <w:bCs/>
          <w:iCs/>
          <w:color w:val="auto"/>
        </w:rPr>
        <w:t xml:space="preserve">art. 158 da Lei </w:t>
      </w:r>
      <w:r>
        <w:rPr>
          <w:rFonts w:ascii="Arial" w:hAnsi="Arial" w:cs="Arial"/>
          <w:bCs/>
          <w:iCs/>
          <w:color w:val="auto"/>
        </w:rPr>
        <w:fldChar w:fldCharType="end"/>
      </w:r>
      <w:r>
        <w:rPr>
          <w:rFonts w:ascii="Arial" w:hAnsi="Arial" w:cs="Arial"/>
          <w:bCs/>
          <w:iCs/>
          <w:color w:val="auto"/>
        </w:rPr>
        <w:t>Federal n.º 14.133, de 2021, pelo agente ou pelo setor com competência para tal, conforme o caso.</w:t>
      </w:r>
    </w:p>
    <w:p w14:paraId="5C8B1465">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3.3</w:t>
      </w:r>
      <w:r>
        <w:rPr>
          <w:rFonts w:ascii="Arial" w:hAnsi="Arial" w:cs="Arial"/>
          <w:bCs/>
          <w:iCs/>
          <w:color w:val="auto"/>
        </w:rPr>
        <w:t>.20. O gestor do contrato deverá elaborar relatório final com informações sobre a consecução dos objetivos que tenham justificado a contratação e eventuais condutas a serem adotadas para o aprimoramento das atividades da Administração.</w:t>
      </w:r>
    </w:p>
    <w:p w14:paraId="5BFEDF15">
      <w:pPr>
        <w:pStyle w:val="19"/>
        <w:widowControl/>
        <w:numPr>
          <w:ilvl w:val="0"/>
          <w:numId w:val="0"/>
        </w:numPr>
        <w:tabs>
          <w:tab w:val="left" w:pos="426"/>
        </w:tabs>
        <w:autoSpaceDE/>
        <w:autoSpaceDN/>
        <w:spacing w:before="120" w:after="120" w:line="276" w:lineRule="auto"/>
        <w:ind w:leftChars="0"/>
        <w:jc w:val="both"/>
        <w:rPr>
          <w:rFonts w:hint="default" w:ascii="Arial" w:hAnsi="Arial" w:cs="Arial"/>
          <w:szCs w:val="24"/>
          <w:lang w:val="pt-BR"/>
        </w:rPr>
      </w:pPr>
      <w:r>
        <w:rPr>
          <w:rFonts w:hint="default" w:ascii="Arial" w:hAnsi="Arial" w:cs="Arial"/>
          <w:bCs/>
          <w:iCs/>
          <w:color w:val="auto"/>
          <w:lang w:val="pt-BR"/>
        </w:rPr>
        <w:t>3.3</w:t>
      </w:r>
      <w:r>
        <w:rPr>
          <w:rFonts w:ascii="Arial" w:hAnsi="Arial" w:cs="Arial"/>
          <w:bCs/>
          <w:iCs/>
          <w:color w:val="auto"/>
        </w:rPr>
        <w:t>.21. O gestor do Contrato deverá enviar a documentação pertinente para a formalização dos procedimentos de liquidação e pagamento, no valor dimensionado pela fiscalização nos termos do Contrato.</w:t>
      </w:r>
    </w:p>
    <w:p w14:paraId="2B32F58D">
      <w:pPr>
        <w:pStyle w:val="19"/>
        <w:widowControl/>
        <w:tabs>
          <w:tab w:val="left" w:pos="426"/>
        </w:tabs>
        <w:autoSpaceDE/>
        <w:autoSpaceDN/>
        <w:spacing w:before="120" w:after="120" w:line="276" w:lineRule="auto"/>
        <w:ind w:left="0"/>
        <w:jc w:val="both"/>
        <w:rPr>
          <w:rFonts w:ascii="Arial" w:hAnsi="Arial" w:cs="Arial"/>
          <w:bCs/>
          <w:iCs/>
        </w:rPr>
      </w:pPr>
    </w:p>
    <w:p w14:paraId="22193CCF">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14:paraId="707DE79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hint="default" w:ascii="Arial" w:hAnsi="Arial" w:cs="Arial"/>
          <w:bCs/>
          <w:iCs/>
          <w:color w:val="auto"/>
          <w:lang w:val="pt-BR"/>
        </w:rPr>
        <w:t>S</w:t>
      </w:r>
      <w:r>
        <w:rPr>
          <w:rFonts w:ascii="Arial" w:hAnsi="Arial" w:cs="Arial"/>
          <w:bCs/>
          <w:iCs/>
          <w:color w:val="auto"/>
        </w:rPr>
        <w:t>erão permitidas até o limite de 30%</w:t>
      </w:r>
      <w:r>
        <w:rPr>
          <w:rFonts w:hint="default" w:ascii="Arial" w:hAnsi="Arial" w:cs="Arial"/>
          <w:bCs/>
          <w:iCs/>
          <w:color w:val="auto"/>
          <w:lang w:val="pt-BR"/>
        </w:rPr>
        <w:t xml:space="preserve"> (trinta por cento)</w:t>
      </w:r>
      <w:r>
        <w:rPr>
          <w:rFonts w:ascii="Arial" w:hAnsi="Arial" w:cs="Arial"/>
          <w:bCs/>
          <w:iCs/>
          <w:color w:val="auto"/>
        </w:rPr>
        <w:t xml:space="preserve"> das contratações, a critério da fiscalização, observada a norma dos arts. 67 e 122 da Lei Federal n.º 14.133/2021.</w:t>
      </w:r>
    </w:p>
    <w:p w14:paraId="426CE1ED">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712CD8DA">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A subcontratação depende de autorização prévia do contratante, a quem incumbe avaliar se o subcontratado cumpre os requisitos de qualificação técnica necessários para a execução do objeto.</w:t>
      </w:r>
    </w:p>
    <w:p w14:paraId="0E203867">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contratado apresentará à Administração documentação que comprove a capacidade técnica do subcontratado, que será avaliada e juntada aos autos do processo correspondente.</w:t>
      </w:r>
    </w:p>
    <w:p w14:paraId="4F0C6494">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56245589">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Caso tenha sido formulada no Termo de Referência a exigência de subcontratação de microempresas ou empresas de pequeno porte (art. 48, II, da Lei Complementar n. 123, de 2006, e art. 7º, do Decreto n.º 8.538, de 2015), além do regramento acima, deverão ser observadas as seguintes disposições específicas:</w:t>
      </w:r>
    </w:p>
    <w:p w14:paraId="139B3807">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CONTRATADO deverá apresentar, ao longo da vigência contratual, sempre que solicitada, a documentação de regularidade fiscal das microempresas e empresas de pequeno porte subcontratadas, sob pena de rescisão, aplicando-se o prazo para regularização previsto no § 1º do art. 4º do Decreto nº 8.538, de 2015;</w:t>
      </w:r>
    </w:p>
    <w:p w14:paraId="59C64345">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CONTRATADO deverá a substituir a subcontratada, no prazo máximo de trinta dias, na hipótese de extinção da subcontratação, mantendo o percentual originalmente subcontratado até a sua execução total, notificando o CONTRATANTE, sob pena de rescisão, sem prejuízo das sanções cabíveis, ou a demonstrar a inviabilidade da substituição, hipótese em que ficará responsável pela execução da parcela originalmente subcontratada; e</w:t>
      </w:r>
    </w:p>
    <w:p w14:paraId="63D8D6EA">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CONTRATADO será responsável pela padronização, pela compatibilidade, pelo gerenciamento centralizado e pela qualidade da subcontratação.</w:t>
      </w:r>
    </w:p>
    <w:p w14:paraId="617A9C88">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Os empenhos e pagamentos referentes às parcelas subcontratadas serão destinados diretamente às microempresas e empresas de pequeno porte subcontratadas.</w:t>
      </w:r>
    </w:p>
    <w:p w14:paraId="273B40C6">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14:paraId="636359F4">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14:paraId="19E0CAC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6F1CFCB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14:paraId="45A82516">
      <w:pPr>
        <w:pStyle w:val="19"/>
        <w:widowControl/>
        <w:tabs>
          <w:tab w:val="left" w:pos="426"/>
        </w:tabs>
        <w:autoSpaceDE/>
        <w:autoSpaceDN/>
        <w:spacing w:before="120" w:after="120" w:line="276" w:lineRule="auto"/>
        <w:ind w:left="0"/>
        <w:jc w:val="both"/>
        <w:rPr>
          <w:rFonts w:ascii="Arial" w:hAnsi="Arial" w:cs="Arial"/>
          <w:bCs/>
          <w:iCs/>
          <w:color w:val="FF0000"/>
        </w:rPr>
      </w:pPr>
    </w:p>
    <w:p w14:paraId="132F4CAA">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14:paraId="01758590">
      <w:pPr>
        <w:pStyle w:val="19"/>
        <w:widowControl/>
        <w:numPr>
          <w:ilvl w:val="0"/>
          <w:numId w:val="0"/>
        </w:numPr>
        <w:tabs>
          <w:tab w:val="left" w:pos="426"/>
        </w:tabs>
        <w:autoSpaceDE/>
        <w:autoSpaceDN/>
        <w:spacing w:before="120" w:after="120" w:line="276" w:lineRule="auto"/>
        <w:ind w:leftChars="0"/>
        <w:jc w:val="both"/>
        <w:rPr>
          <w:rFonts w:ascii="Arial" w:hAnsi="Arial" w:cs="Arial"/>
          <w:b/>
          <w:bCs w:val="0"/>
          <w:iCs/>
          <w:color w:val="auto"/>
        </w:rPr>
      </w:pPr>
      <w:r>
        <w:rPr>
          <w:rFonts w:hint="default" w:ascii="Arial" w:hAnsi="Arial" w:cs="Arial"/>
          <w:bCs/>
          <w:iCs/>
          <w:color w:val="auto"/>
          <w:lang w:val="pt-BR"/>
        </w:rPr>
        <w:t>6.1</w:t>
      </w:r>
      <w:r>
        <w:rPr>
          <w:rFonts w:ascii="Arial" w:hAnsi="Arial" w:cs="Arial"/>
          <w:bCs/>
          <w:iCs/>
          <w:color w:val="auto"/>
        </w:rPr>
        <w:t xml:space="preserve"> A Nota Fiscal deverá ser emitida em nome de: </w:t>
      </w:r>
      <w:r>
        <w:rPr>
          <w:rFonts w:ascii="Arial" w:hAnsi="Arial" w:cs="Arial"/>
          <w:b/>
          <w:bCs w:val="0"/>
          <w:iCs/>
          <w:color w:val="auto"/>
        </w:rPr>
        <w:t>MUNICÍPIO DE NOVA FRIBURGO</w:t>
      </w:r>
      <w:r>
        <w:rPr>
          <w:rFonts w:hint="default" w:ascii="Arial" w:hAnsi="Arial" w:cs="Arial"/>
          <w:b/>
          <w:bCs w:val="0"/>
          <w:iCs/>
          <w:color w:val="auto"/>
          <w:lang w:val="pt-BR"/>
        </w:rPr>
        <w:t xml:space="preserve">, </w:t>
      </w:r>
      <w:r>
        <w:rPr>
          <w:rFonts w:ascii="Arial" w:hAnsi="Arial" w:cs="Arial"/>
          <w:b/>
          <w:bCs w:val="0"/>
          <w:iCs/>
          <w:color w:val="auto"/>
        </w:rPr>
        <w:t>CNPJ: 28.606.630/0001-23</w:t>
      </w:r>
      <w:r>
        <w:rPr>
          <w:rFonts w:hint="default" w:ascii="Arial" w:hAnsi="Arial" w:cs="Arial"/>
          <w:b/>
          <w:bCs w:val="0"/>
          <w:iCs/>
          <w:color w:val="auto"/>
          <w:lang w:val="pt-BR"/>
        </w:rPr>
        <w:t xml:space="preserve">, </w:t>
      </w:r>
      <w:r>
        <w:rPr>
          <w:rFonts w:ascii="Arial" w:hAnsi="Arial" w:cs="Arial"/>
          <w:b/>
          <w:bCs w:val="0"/>
          <w:iCs/>
          <w:color w:val="auto"/>
        </w:rPr>
        <w:t>ENDEREÇO: Avenida Alberto Braune, 225, Centro, Nova Friburgo.</w:t>
      </w:r>
    </w:p>
    <w:p w14:paraId="552152BD">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u w:val="single"/>
        </w:rPr>
      </w:pPr>
      <w:r>
        <w:rPr>
          <w:rFonts w:hint="default" w:ascii="Arial" w:hAnsi="Arial" w:cs="Arial"/>
          <w:bCs/>
          <w:iCs/>
          <w:color w:val="auto"/>
          <w:lang w:val="pt-BR"/>
        </w:rPr>
        <w:t>6</w:t>
      </w:r>
      <w:r>
        <w:rPr>
          <w:rFonts w:ascii="Arial" w:hAnsi="Arial" w:cs="Arial"/>
          <w:bCs/>
          <w:iCs/>
          <w:color w:val="auto"/>
        </w:rPr>
        <w:t xml:space="preserve">.2.  </w:t>
      </w:r>
      <w:r>
        <w:rPr>
          <w:rFonts w:ascii="Arial" w:hAnsi="Arial" w:cs="Arial"/>
          <w:bCs/>
          <w:iCs/>
          <w:color w:val="auto"/>
          <w:u w:val="single"/>
        </w:rPr>
        <w:t>Da liquidação da despesa:</w:t>
      </w:r>
    </w:p>
    <w:p w14:paraId="7A70054B">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6</w:t>
      </w:r>
      <w:r>
        <w:rPr>
          <w:rFonts w:ascii="Arial" w:hAnsi="Arial" w:cs="Arial"/>
          <w:bCs/>
          <w:iCs/>
          <w:color w:val="auto"/>
        </w:rPr>
        <w:t xml:space="preserve">.2.1. </w:t>
      </w:r>
      <w:r>
        <w:rPr>
          <w:rFonts w:ascii="Arial" w:hAnsi="Arial" w:cs="Arial"/>
          <w:bCs/>
          <w:iCs/>
          <w:color w:val="auto"/>
          <w:lang w:eastAsia="en-US"/>
        </w:rPr>
        <w:t xml:space="preserve"> A liquidação será realizada pela Secretaria de Fazenda, a partir do cumprimento das obrigações elencadas neste Termo de Referência, em obediência ao Decreto nº 2493, de 07 de novembro de 2023 ou outro que vier a substituí-lo</w:t>
      </w:r>
      <w:r>
        <w:rPr>
          <w:rFonts w:ascii="Arial" w:hAnsi="Arial" w:cs="Arial"/>
          <w:bCs/>
          <w:iCs/>
          <w:color w:val="auto"/>
        </w:rPr>
        <w:t>.</w:t>
      </w:r>
    </w:p>
    <w:p w14:paraId="1D8DB8DE">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6</w:t>
      </w:r>
      <w:r>
        <w:rPr>
          <w:rFonts w:ascii="Arial" w:hAnsi="Arial" w:cs="Arial"/>
          <w:bCs/>
          <w:iCs/>
          <w:color w:val="auto"/>
        </w:rPr>
        <w:t xml:space="preserve">.3. </w:t>
      </w:r>
      <w:r>
        <w:rPr>
          <w:rFonts w:ascii="Arial" w:hAnsi="Arial" w:cs="Arial"/>
          <w:bCs/>
          <w:iCs/>
          <w:color w:val="auto"/>
          <w:u w:val="single"/>
        </w:rPr>
        <w:t>Do pagamento da despesa:</w:t>
      </w:r>
    </w:p>
    <w:p w14:paraId="6D333074">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6</w:t>
      </w:r>
      <w:r>
        <w:rPr>
          <w:rFonts w:ascii="Arial" w:hAnsi="Arial" w:cs="Arial"/>
          <w:bCs/>
          <w:iCs/>
          <w:color w:val="auto"/>
        </w:rPr>
        <w:t>.3.1.</w:t>
      </w:r>
      <w:r>
        <w:rPr>
          <w:rFonts w:ascii="Arial" w:hAnsi="Arial" w:cs="Arial"/>
          <w:bCs/>
          <w:iCs/>
          <w:color w:val="auto"/>
          <w:lang w:eastAsia="en-US"/>
        </w:rPr>
        <w:t xml:space="preserve"> O pagamento será efetuado conforme estabelecido no Decreto Municipal nº 2493, de 07 de novembro de 2023 ou outro que vier a substituí-lo, desde que as certidões listadas abaixo estejam dentro da validade</w:t>
      </w:r>
      <w:r>
        <w:rPr>
          <w:rFonts w:ascii="Arial" w:hAnsi="Arial" w:cs="Arial"/>
          <w:bCs/>
          <w:iCs/>
          <w:color w:val="auto"/>
        </w:rPr>
        <w:t>:</w:t>
      </w:r>
    </w:p>
    <w:p w14:paraId="4F812971">
      <w:pPr>
        <w:pStyle w:val="19"/>
        <w:widowControl/>
        <w:numPr>
          <w:ilvl w:val="0"/>
          <w:numId w:val="4"/>
        </w:numPr>
        <w:tabs>
          <w:tab w:val="left" w:pos="426"/>
        </w:tabs>
        <w:autoSpaceDE/>
        <w:autoSpaceDN/>
        <w:spacing w:before="120" w:after="120" w:line="276" w:lineRule="auto"/>
        <w:ind w:leftChars="0"/>
        <w:jc w:val="both"/>
        <w:rPr>
          <w:rFonts w:ascii="Arial" w:hAnsi="Arial" w:cs="Arial"/>
          <w:bCs/>
          <w:iCs/>
          <w:color w:val="auto"/>
        </w:rPr>
      </w:pPr>
      <w:r>
        <w:rPr>
          <w:rFonts w:ascii="Arial" w:hAnsi="Arial" w:cs="Arial"/>
          <w:bCs/>
          <w:iCs/>
          <w:color w:val="auto"/>
        </w:rPr>
        <w:t xml:space="preserve">Negativa de Débitos Trabalhistas; </w:t>
      </w:r>
    </w:p>
    <w:p w14:paraId="291FB41C">
      <w:pPr>
        <w:pStyle w:val="19"/>
        <w:widowControl/>
        <w:numPr>
          <w:ilvl w:val="0"/>
          <w:numId w:val="4"/>
        </w:numPr>
        <w:tabs>
          <w:tab w:val="left" w:pos="426"/>
        </w:tabs>
        <w:autoSpaceDE/>
        <w:autoSpaceDN/>
        <w:spacing w:before="120" w:after="120" w:line="276" w:lineRule="auto"/>
        <w:ind w:left="301" w:leftChars="0" w:firstLine="0" w:firstLineChars="0"/>
        <w:jc w:val="both"/>
        <w:rPr>
          <w:rFonts w:ascii="Arial" w:hAnsi="Arial" w:cs="Arial"/>
          <w:bCs/>
          <w:iCs/>
          <w:color w:val="auto"/>
        </w:rPr>
      </w:pPr>
      <w:r>
        <w:rPr>
          <w:rFonts w:ascii="Arial" w:hAnsi="Arial" w:cs="Arial"/>
          <w:bCs/>
          <w:iCs/>
          <w:color w:val="auto"/>
        </w:rPr>
        <w:t xml:space="preserve">Fazenda Federal – abrange as contribuições sociais; </w:t>
      </w:r>
    </w:p>
    <w:p w14:paraId="404D6AC4">
      <w:pPr>
        <w:pStyle w:val="19"/>
        <w:widowControl/>
        <w:numPr>
          <w:ilvl w:val="0"/>
          <w:numId w:val="4"/>
        </w:numPr>
        <w:tabs>
          <w:tab w:val="left" w:pos="426"/>
        </w:tabs>
        <w:autoSpaceDE/>
        <w:autoSpaceDN/>
        <w:spacing w:before="120" w:after="120" w:line="276" w:lineRule="auto"/>
        <w:ind w:left="301" w:leftChars="0" w:firstLine="0" w:firstLineChars="0"/>
        <w:jc w:val="both"/>
        <w:rPr>
          <w:rFonts w:ascii="Arial" w:hAnsi="Arial" w:cs="Arial"/>
          <w:bCs/>
          <w:iCs/>
          <w:color w:val="auto"/>
        </w:rPr>
      </w:pPr>
      <w:r>
        <w:rPr>
          <w:rFonts w:ascii="Arial" w:hAnsi="Arial" w:cs="Arial"/>
          <w:bCs/>
          <w:iCs/>
          <w:color w:val="auto"/>
        </w:rPr>
        <w:t xml:space="preserve">FGTS; </w:t>
      </w:r>
    </w:p>
    <w:p w14:paraId="7505BDD0">
      <w:pPr>
        <w:pStyle w:val="19"/>
        <w:widowControl/>
        <w:numPr>
          <w:ilvl w:val="0"/>
          <w:numId w:val="4"/>
        </w:numPr>
        <w:tabs>
          <w:tab w:val="left" w:pos="426"/>
        </w:tabs>
        <w:autoSpaceDE/>
        <w:autoSpaceDN/>
        <w:spacing w:before="120" w:after="120" w:line="276" w:lineRule="auto"/>
        <w:ind w:left="301" w:leftChars="0" w:firstLine="0" w:firstLineChars="0"/>
        <w:jc w:val="both"/>
        <w:rPr>
          <w:rFonts w:ascii="Arial" w:hAnsi="Arial" w:cs="Arial"/>
          <w:bCs/>
          <w:iCs/>
          <w:color w:val="auto"/>
        </w:rPr>
      </w:pPr>
      <w:r>
        <w:rPr>
          <w:rFonts w:ascii="Arial" w:hAnsi="Arial" w:cs="Arial"/>
          <w:bCs/>
          <w:iCs/>
          <w:color w:val="auto"/>
        </w:rPr>
        <w:t xml:space="preserve">PGE – referente à Dívida Ativa Estadual; </w:t>
      </w:r>
    </w:p>
    <w:p w14:paraId="784FC1E1">
      <w:pPr>
        <w:pStyle w:val="19"/>
        <w:widowControl/>
        <w:numPr>
          <w:ilvl w:val="0"/>
          <w:numId w:val="4"/>
        </w:numPr>
        <w:tabs>
          <w:tab w:val="left" w:pos="426"/>
        </w:tabs>
        <w:autoSpaceDE/>
        <w:autoSpaceDN/>
        <w:spacing w:before="120" w:after="120" w:line="276" w:lineRule="auto"/>
        <w:ind w:left="301" w:leftChars="0" w:firstLine="0" w:firstLineChars="0"/>
        <w:jc w:val="both"/>
        <w:rPr>
          <w:rFonts w:ascii="Arial" w:hAnsi="Arial" w:cs="Arial"/>
          <w:bCs/>
          <w:iCs/>
          <w:color w:val="auto"/>
        </w:rPr>
      </w:pPr>
      <w:r>
        <w:rPr>
          <w:rFonts w:ascii="Arial" w:hAnsi="Arial" w:cs="Arial"/>
          <w:bCs/>
          <w:iCs/>
          <w:color w:val="auto"/>
        </w:rPr>
        <w:t xml:space="preserve">Municipal – referente ao ISS e Dívida Ativa; </w:t>
      </w:r>
    </w:p>
    <w:p w14:paraId="26CDD58B">
      <w:pPr>
        <w:pStyle w:val="19"/>
        <w:widowControl/>
        <w:numPr>
          <w:ilvl w:val="0"/>
          <w:numId w:val="4"/>
        </w:numPr>
        <w:tabs>
          <w:tab w:val="left" w:pos="426"/>
        </w:tabs>
        <w:autoSpaceDE/>
        <w:autoSpaceDN/>
        <w:spacing w:before="120" w:after="120" w:line="276" w:lineRule="auto"/>
        <w:ind w:left="301" w:leftChars="0" w:firstLine="0" w:firstLineChars="0"/>
        <w:jc w:val="both"/>
        <w:rPr>
          <w:rFonts w:ascii="Arial" w:hAnsi="Arial" w:cs="Arial"/>
          <w:bCs/>
          <w:iCs/>
          <w:color w:val="auto"/>
        </w:rPr>
      </w:pPr>
      <w:r>
        <w:rPr>
          <w:rFonts w:ascii="Arial" w:hAnsi="Arial" w:cs="Arial"/>
          <w:bCs/>
          <w:iCs/>
          <w:color w:val="auto"/>
        </w:rPr>
        <w:t>Estadual CND – referente ao ICMS.</w:t>
      </w:r>
    </w:p>
    <w:p w14:paraId="4AABDA18">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6</w:t>
      </w:r>
      <w:r>
        <w:rPr>
          <w:rFonts w:ascii="Arial" w:hAnsi="Arial" w:cs="Arial"/>
          <w:bCs/>
          <w:iCs/>
          <w:color w:val="auto"/>
        </w:rPr>
        <w:t xml:space="preserve">.3.2. A Nota Fiscal deverá conter a identificação do Banco, número da Agência e da Conta-Corrente, para que possibilite o CONTRATANTE efetuar o pagamento do valor devido; </w:t>
      </w:r>
    </w:p>
    <w:p w14:paraId="05FF299C">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6</w:t>
      </w:r>
      <w:r>
        <w:rPr>
          <w:rFonts w:ascii="Arial" w:hAnsi="Arial" w:cs="Arial"/>
          <w:bCs/>
          <w:iCs/>
          <w:color w:val="auto"/>
        </w:rPr>
        <w:t>.3.3. Na ocorrência de rejeição da(s) Nota(s) Fiscal(is), motivada por erro ou incorreções, o prazo para pagamento estipulado no regulamento acima passará a ser contado a partir da data de sua reapresentação.</w:t>
      </w:r>
    </w:p>
    <w:p w14:paraId="0131E7ED">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6</w:t>
      </w:r>
      <w:r>
        <w:rPr>
          <w:rFonts w:ascii="Arial" w:hAnsi="Arial" w:cs="Arial"/>
          <w:bCs/>
          <w:iCs/>
          <w:color w:val="auto"/>
        </w:rPr>
        <w:t>.3.4. 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14:paraId="3D79A54B">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6</w:t>
      </w:r>
      <w:r>
        <w:rPr>
          <w:rFonts w:ascii="Arial" w:hAnsi="Arial" w:cs="Arial"/>
          <w:bCs/>
          <w:iCs/>
          <w:color w:val="auto"/>
        </w:rPr>
        <w:t>.</w:t>
      </w:r>
      <w:r>
        <w:rPr>
          <w:rFonts w:hint="default" w:ascii="Arial" w:hAnsi="Arial" w:cs="Arial"/>
          <w:bCs/>
          <w:iCs/>
          <w:color w:val="auto"/>
          <w:lang w:val="pt-BR"/>
        </w:rPr>
        <w:t>4</w:t>
      </w:r>
      <w:r>
        <w:rPr>
          <w:rFonts w:ascii="Arial" w:hAnsi="Arial" w:cs="Arial"/>
          <w:bCs/>
          <w:iCs/>
          <w:color w:val="auto"/>
        </w:rPr>
        <w:t>. Os pagamentos serão efetuados conforme a legislação de regência.</w:t>
      </w:r>
    </w:p>
    <w:p w14:paraId="33ED0CE8">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6</w:t>
      </w:r>
      <w:r>
        <w:rPr>
          <w:rFonts w:ascii="Arial" w:hAnsi="Arial" w:cs="Arial"/>
          <w:bCs/>
          <w:iCs/>
          <w:color w:val="auto"/>
        </w:rPr>
        <w:t>.</w:t>
      </w:r>
      <w:r>
        <w:rPr>
          <w:rFonts w:hint="default" w:ascii="Arial" w:hAnsi="Arial" w:cs="Arial"/>
          <w:bCs/>
          <w:iCs/>
          <w:color w:val="auto"/>
          <w:lang w:val="pt-BR"/>
        </w:rPr>
        <w:t>5</w:t>
      </w:r>
      <w:r>
        <w:rPr>
          <w:rFonts w:ascii="Arial" w:hAnsi="Arial" w:cs="Arial"/>
          <w:bCs/>
          <w:iCs/>
          <w:color w:val="auto"/>
        </w:rPr>
        <w:t>. Quando da apresentação das medições, deverá ser observado o normativo incidente, bem como a manutenção da regularidade fiscal ao longo do contrato.</w:t>
      </w:r>
    </w:p>
    <w:p w14:paraId="47D7C86B">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6</w:t>
      </w:r>
      <w:r>
        <w:rPr>
          <w:rFonts w:ascii="Arial" w:hAnsi="Arial" w:cs="Arial"/>
          <w:bCs/>
          <w:iCs/>
          <w:color w:val="auto"/>
        </w:rPr>
        <w:t>.</w:t>
      </w:r>
      <w:r>
        <w:rPr>
          <w:rFonts w:hint="default" w:ascii="Arial" w:hAnsi="Arial" w:cs="Arial"/>
          <w:bCs/>
          <w:iCs/>
          <w:color w:val="auto"/>
          <w:lang w:val="pt-BR"/>
        </w:rPr>
        <w:t>6</w:t>
      </w:r>
      <w:r>
        <w:rPr>
          <w:rFonts w:ascii="Arial" w:hAnsi="Arial" w:cs="Arial"/>
          <w:bCs/>
          <w:iCs/>
          <w:color w:val="auto"/>
        </w:rPr>
        <w:t>. Não serão concedidos reajustes contratuais quando não houver o cumprimento do cronograma proposto pela Administração, não justificado pela fiscalização.</w:t>
      </w:r>
    </w:p>
    <w:p w14:paraId="1FFA587C">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6</w:t>
      </w:r>
      <w:r>
        <w:rPr>
          <w:rFonts w:ascii="Arial" w:hAnsi="Arial" w:cs="Arial"/>
          <w:bCs/>
          <w:iCs/>
          <w:color w:val="auto"/>
        </w:rPr>
        <w:t>.</w:t>
      </w:r>
      <w:r>
        <w:rPr>
          <w:rFonts w:hint="default" w:ascii="Arial" w:hAnsi="Arial" w:cs="Arial"/>
          <w:bCs/>
          <w:iCs/>
          <w:color w:val="auto"/>
          <w:lang w:val="pt-BR"/>
        </w:rPr>
        <w:t>7</w:t>
      </w:r>
      <w:r>
        <w:rPr>
          <w:rFonts w:ascii="Arial" w:hAnsi="Arial" w:cs="Arial"/>
          <w:bCs/>
          <w:iCs/>
          <w:color w:val="auto"/>
        </w:rPr>
        <w:t>. Na hipótese de atraso no pagamento pela Administração, a aplicação de atualização do valor deverá atender, inicialmente, a legislação que rege a matéria e o menor índice legal previsto.</w:t>
      </w:r>
    </w:p>
    <w:p w14:paraId="62215354">
      <w:pPr>
        <w:pStyle w:val="19"/>
        <w:widowControl/>
        <w:numPr>
          <w:ilvl w:val="0"/>
          <w:numId w:val="0"/>
        </w:numPr>
        <w:tabs>
          <w:tab w:val="left" w:pos="426"/>
        </w:tabs>
        <w:autoSpaceDE/>
        <w:autoSpaceDN/>
        <w:spacing w:before="120" w:after="120" w:line="276" w:lineRule="auto"/>
        <w:ind w:leftChars="0"/>
        <w:jc w:val="both"/>
        <w:rPr>
          <w:rFonts w:ascii="Arial" w:hAnsi="Arial" w:cs="Arial"/>
          <w:bCs/>
          <w:iCs/>
          <w:color w:val="auto"/>
        </w:rPr>
      </w:pPr>
      <w:r>
        <w:rPr>
          <w:rFonts w:hint="default" w:ascii="Arial" w:hAnsi="Arial" w:cs="Arial"/>
          <w:bCs/>
          <w:iCs/>
          <w:color w:val="auto"/>
          <w:lang w:val="pt-BR"/>
        </w:rPr>
        <w:t>6</w:t>
      </w:r>
      <w:r>
        <w:rPr>
          <w:rFonts w:ascii="Arial" w:hAnsi="Arial" w:cs="Arial"/>
          <w:bCs/>
          <w:iCs/>
          <w:color w:val="auto"/>
        </w:rPr>
        <w:t>.</w:t>
      </w:r>
      <w:r>
        <w:rPr>
          <w:rFonts w:hint="default" w:ascii="Arial" w:hAnsi="Arial" w:cs="Arial"/>
          <w:bCs/>
          <w:iCs/>
          <w:color w:val="auto"/>
          <w:lang w:val="pt-BR"/>
        </w:rPr>
        <w:t>8</w:t>
      </w:r>
      <w:r>
        <w:rPr>
          <w:rFonts w:ascii="Arial" w:hAnsi="Arial" w:cs="Arial"/>
          <w:bCs/>
          <w:iCs/>
          <w:color w:val="auto"/>
        </w:rPr>
        <w:t>. Não será admitida a cessão de crédito pela Contratada.</w:t>
      </w:r>
    </w:p>
    <w:p w14:paraId="2A17F2D0">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pt-BR"/>
        </w:rPr>
      </w:pPr>
      <w:r>
        <w:rPr>
          <w:rFonts w:hint="default" w:ascii="Arial" w:hAnsi="Arial" w:cs="Arial"/>
          <w:bCs/>
          <w:iCs/>
          <w:color w:val="auto"/>
          <w:lang w:val="pt-BR"/>
        </w:rPr>
        <w:t>6.9. O pagamento será efetuado pelo Município de Nova Friburgo mediante crédito em conta-corrente da contratada, até o 30º (trigésimo) dia corrido, a contar da atestação da Nota (s) Fiscal(ais) apresentada pela contratada, desde que cumpridas as formalidades legais e contratuais previstas, e de acordo com o Decreto Municipal nº. 2493, de 07 de novembro de 2023.</w:t>
      </w:r>
    </w:p>
    <w:p w14:paraId="219A9AA5">
      <w:pPr>
        <w:pStyle w:val="19"/>
        <w:widowControl/>
        <w:numPr>
          <w:ilvl w:val="0"/>
          <w:numId w:val="0"/>
        </w:numPr>
        <w:tabs>
          <w:tab w:val="left" w:pos="426"/>
        </w:tabs>
        <w:autoSpaceDE/>
        <w:autoSpaceDN/>
        <w:spacing w:before="120" w:after="120" w:line="276" w:lineRule="auto"/>
        <w:ind w:leftChars="0"/>
        <w:jc w:val="both"/>
        <w:rPr>
          <w:rFonts w:hint="default" w:ascii="Arial" w:hAnsi="Arial" w:cs="Arial"/>
          <w:bCs/>
          <w:iCs/>
          <w:color w:val="auto"/>
          <w:lang w:val="pt-BR" w:eastAsia="pt-BR"/>
        </w:rPr>
      </w:pPr>
    </w:p>
    <w:p w14:paraId="3597BA5A">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14:paraId="6348F2F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Os preços inicialmente contratados são fixos e irreajustáveis no prazo de um ano contado da data do orçamento estimado, em __/__/__ (DD/MM/AAAA).</w:t>
      </w:r>
    </w:p>
    <w:p w14:paraId="70569D4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Após o interregno de um ano, e independentemente de pedido do contratado, os preços iniciais serão reajustados, mediante a aplicação, pelo contratante, </w:t>
      </w:r>
      <w:r>
        <w:rPr>
          <w:rFonts w:ascii="Arial" w:hAnsi="Arial" w:cs="Arial"/>
          <w:bCs/>
          <w:iCs/>
          <w:lang w:val="pt-BR"/>
        </w:rPr>
        <w:t>do Índice Nacional de Preços ao Consumidor Amplo (IPCA), instituído pelo Instituto Brasileiro de Geografia e Estatística (IBGE)</w:t>
      </w:r>
      <w:r>
        <w:rPr>
          <w:rFonts w:ascii="Arial" w:hAnsi="Arial" w:cs="Arial"/>
          <w:bCs/>
          <w:iCs/>
        </w:rPr>
        <w:t>, exclusivamente para as obrigações iniciadas e concluídas após a ocorrência da anualidade.</w:t>
      </w:r>
    </w:p>
    <w:p w14:paraId="2DDE6E5E">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14:paraId="493CC5B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3B790452">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14:paraId="2CA7A2A5">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14:paraId="36175A2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14:paraId="38EA453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14:paraId="4FA84FB2">
      <w:pPr>
        <w:widowControl/>
        <w:tabs>
          <w:tab w:val="left" w:pos="426"/>
        </w:tabs>
        <w:autoSpaceDE/>
        <w:autoSpaceDN/>
        <w:spacing w:before="120" w:after="120" w:line="276" w:lineRule="auto"/>
        <w:jc w:val="both"/>
        <w:rPr>
          <w:rFonts w:ascii="Arial" w:hAnsi="Arial" w:cs="Arial"/>
          <w:bCs/>
          <w:i/>
          <w:color w:val="FF0000"/>
        </w:rPr>
      </w:pPr>
    </w:p>
    <w:p w14:paraId="24576018">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5F8B0CC6">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14:paraId="7475FBE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14:paraId="6D4E471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14:paraId="6F0A9D77">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14:paraId="0547C32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14:paraId="2D16C926">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14:paraId="5E2F74B2">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14:paraId="5D9CABD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14:paraId="5E79A63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BEA1B30">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14:paraId="5F21FBC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14:paraId="15218468">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Comunicar o Contratado na hipótese de posterior alteração do projeto pelo Contratante, no caso </w:t>
      </w:r>
      <w:r>
        <w:fldChar w:fldCharType="begin"/>
      </w:r>
      <w:r>
        <w:instrText xml:space="preserve"> HYPERLINK "http://www.planalto.gov.br/ccivil_03/_ato2019-2022/2021/lei/L14133.htm" \l "art93§2" </w:instrText>
      </w:r>
      <w:r>
        <w:fldChar w:fldCharType="separate"/>
      </w:r>
      <w:r>
        <w:rPr>
          <w:rFonts w:ascii="Arial" w:hAnsi="Arial" w:cs="Arial"/>
          <w:bCs/>
          <w:iCs/>
          <w:lang w:val="pt-BR"/>
        </w:rPr>
        <w:t>do art. 93, §2º, da Lei nº 14.133, de 2021</w:t>
      </w:r>
      <w:r>
        <w:rPr>
          <w:rFonts w:ascii="Arial" w:hAnsi="Arial" w:cs="Arial"/>
          <w:bCs/>
          <w:iCs/>
          <w:lang w:val="pt-BR"/>
        </w:rPr>
        <w:fldChar w:fldCharType="end"/>
      </w:r>
      <w:r>
        <w:rPr>
          <w:rFonts w:ascii="Arial" w:hAnsi="Arial" w:cs="Arial"/>
          <w:bCs/>
          <w:iCs/>
          <w:lang w:val="pt-BR"/>
        </w:rPr>
        <w:t>.</w:t>
      </w:r>
    </w:p>
    <w:p w14:paraId="5080FE7D">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72CE48C2">
      <w:pPr>
        <w:pStyle w:val="19"/>
        <w:widowControl/>
        <w:tabs>
          <w:tab w:val="left" w:pos="426"/>
        </w:tabs>
        <w:autoSpaceDE/>
        <w:autoSpaceDN/>
        <w:spacing w:before="120" w:after="120" w:line="276" w:lineRule="auto"/>
        <w:ind w:left="862"/>
        <w:jc w:val="both"/>
        <w:rPr>
          <w:rFonts w:ascii="Arial" w:hAnsi="Arial" w:cs="Arial"/>
          <w:bCs/>
          <w:iCs/>
          <w:lang w:val="pt-BR"/>
        </w:rPr>
      </w:pPr>
    </w:p>
    <w:p w14:paraId="13E10B06">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14:paraId="2414460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14:paraId="73CDEF5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3B4064E9">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Manter preposto aceito pela Administração no local do serviço para representá-lo na execução do contrato.</w:t>
      </w:r>
    </w:p>
    <w:p w14:paraId="306C23E0">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indicação ou a manutenção do preposto da empresa poderá ser recusada pelo órgão ou entidade, desde que devidamente justificada, devendo a empresa designar outro para o exercício da atividade.</w:t>
      </w:r>
    </w:p>
    <w:p w14:paraId="3FA90B10">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Atender às determinações regulares emitidas pelo fiscal do contrato ou autoridade superior (</w:t>
      </w:r>
      <w:r>
        <w:fldChar w:fldCharType="begin"/>
      </w:r>
      <w:r>
        <w:instrText xml:space="preserve"> HYPERLINK "http://www.planalto.gov.br/ccivil_03/_ato2019-2022/2021/lei/L14133.htm" \l "art137" </w:instrText>
      </w:r>
      <w:r>
        <w:fldChar w:fldCharType="separate"/>
      </w:r>
      <w:r>
        <w:rPr>
          <w:rFonts w:ascii="Arial" w:hAnsi="Arial" w:cs="Arial"/>
          <w:bCs/>
          <w:iCs/>
          <w:lang w:val="pt-BR"/>
        </w:rPr>
        <w:t>art. 137, II</w:t>
      </w:r>
      <w:r>
        <w:rPr>
          <w:rFonts w:ascii="Arial" w:hAnsi="Arial" w:cs="Arial"/>
          <w:bCs/>
          <w:iCs/>
          <w:lang w:val="pt-BR"/>
        </w:rPr>
        <w:fldChar w:fldCharType="end"/>
      </w:r>
      <w:r>
        <w:rPr>
          <w:rFonts w:ascii="Arial" w:hAnsi="Arial" w:cs="Arial"/>
          <w:bCs/>
          <w:iCs/>
          <w:lang w:val="pt-BR"/>
        </w:rPr>
        <w:t>) e prestar todo esclarecimento ou informação por eles solicitados;</w:t>
      </w:r>
    </w:p>
    <w:p w14:paraId="531A319D">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2EEE34D8">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036E1006">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Responsabilizar-se pelos vícios e danos decorrentes da execução do objeto, de acordo com o </w:t>
      </w:r>
      <w:r>
        <w:fldChar w:fldCharType="begin"/>
      </w:r>
      <w:r>
        <w:instrText xml:space="preserve"> HYPERLINK "https://www.planalto.gov.br/ccivil_03/leis/l8078compilado.htm" </w:instrText>
      </w:r>
      <w:r>
        <w:fldChar w:fldCharType="separate"/>
      </w:r>
      <w:r>
        <w:rPr>
          <w:rFonts w:ascii="Arial" w:hAnsi="Arial" w:cs="Arial"/>
          <w:bCs/>
          <w:iCs/>
          <w:lang w:val="pt-BR"/>
        </w:rPr>
        <w:t>Código de Defesa do Consumidor (Lei nº 8.078, de 1990</w:t>
      </w:r>
      <w:r>
        <w:rPr>
          <w:rFonts w:ascii="Arial" w:hAnsi="Arial" w:cs="Arial"/>
          <w:bCs/>
          <w:iCs/>
          <w:lang w:val="pt-BR"/>
        </w:rPr>
        <w:fldChar w:fldCharType="end"/>
      </w:r>
      <w:r>
        <w:rPr>
          <w:rFonts w:ascii="Arial" w:hAnsi="Arial" w:cs="Arial"/>
          <w:bCs/>
          <w:iCs/>
          <w:lang w:val="pt-BR"/>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3069699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Não contratar, durante a vigência do contrato, cônjuge, companheiro ou parente em linha reta, colateral ou por afinidade, até o terceiro grau, de dirigente do contratante ou do fiscal ou gestor do contrato, nos termos do </w:t>
      </w:r>
      <w:r>
        <w:fldChar w:fldCharType="begin"/>
      </w:r>
      <w:r>
        <w:instrText xml:space="preserve"> HYPERLINK "http://www.planalto.gov.br/ccivil_03/_ato2019-2022/2021/lei/L14133.htm" \l "art48" </w:instrText>
      </w:r>
      <w:r>
        <w:fldChar w:fldCharType="separate"/>
      </w:r>
      <w:r>
        <w:rPr>
          <w:rFonts w:ascii="Arial" w:hAnsi="Arial" w:cs="Arial"/>
          <w:bCs/>
          <w:iCs/>
          <w:lang w:val="pt-BR"/>
        </w:rPr>
        <w:t>artigo 48, parágrafo único, da Lei nº 14.133, de 2021</w:t>
      </w:r>
      <w:r>
        <w:rPr>
          <w:rFonts w:ascii="Arial" w:hAnsi="Arial" w:cs="Arial"/>
          <w:bCs/>
          <w:iCs/>
          <w:lang w:val="pt-BR"/>
        </w:rPr>
        <w:fldChar w:fldCharType="end"/>
      </w:r>
      <w:r>
        <w:rPr>
          <w:rFonts w:ascii="Arial" w:hAnsi="Arial" w:cs="Arial"/>
          <w:bCs/>
          <w:iCs/>
          <w:lang w:val="pt-BR"/>
        </w:rPr>
        <w:t>;</w:t>
      </w:r>
    </w:p>
    <w:p w14:paraId="570443D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59AB1FE3">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4F33BAE">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Fiscal do contrato, no prazo de 24 (vinte e quatro) horas, qualquer ocorrência anormal ou acidente que se verifique no local dos serviços.</w:t>
      </w:r>
    </w:p>
    <w:p w14:paraId="5245517C">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Prestar todo esclarecimento ou informação solicitada pelo Contratante ou por seus prepostos, garantindo-lhes o acesso, a qualquer tempo, ao local dos trabalhos, bem como aos documentos relativos à execução do empreendimento.</w:t>
      </w:r>
    </w:p>
    <w:p w14:paraId="4853E2A1">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14:paraId="552A197F">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Promover a guarda, manutenção e vigilância de materiais, ferramentas, e tudo o que for necessário à execução do objeto, durante a vigência do contrato.</w:t>
      </w:r>
    </w:p>
    <w:p w14:paraId="4B210343">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Conduzir os trabalhos com estrita observância às normas da legislação pertinente, cumprindo as determinações dos Poderes Públicos, mantendo sempre limpo o local dos serviços e nas melhores condições de segurança, higiene e disciplina.</w:t>
      </w:r>
    </w:p>
    <w:p w14:paraId="4C871148">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Submeter previamente, por escrito, ao Contratante, para análise e aprovação, quaisquer mudanças nos métodos executivos que fujam às especificações do memorial descritivo ou instrumento congênere.</w:t>
      </w:r>
    </w:p>
    <w:p w14:paraId="74AEDF3B">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Não permitir a utilização de qualquer trabalho do menor de dezesseis anos, exceto na condição de aprendiz para os maiores de quatorze anos, nem permitir a utilização do trabalho do menor de dezoito anos em trabalho noturno, perigoso ou insalubre;</w:t>
      </w:r>
    </w:p>
    <w:p w14:paraId="73B6BFBC">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Manter durante toda a vigência do contrato, em compatibilidade com as obrigações assumidas, todas as condições exigidas para habilitação na licitação; </w:t>
      </w:r>
    </w:p>
    <w:p w14:paraId="44E67F51">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Fonts w:ascii="Arial" w:hAnsi="Arial" w:cs="Arial"/>
          <w:bCs/>
          <w:iCs/>
          <w:lang w:val="pt-BR"/>
        </w:rPr>
        <w:t>art. 116</w:t>
      </w:r>
      <w:r>
        <w:rPr>
          <w:rFonts w:ascii="Arial" w:hAnsi="Arial" w:cs="Arial"/>
          <w:bCs/>
          <w:iCs/>
          <w:lang w:val="pt-BR"/>
        </w:rPr>
        <w:fldChar w:fldCharType="end"/>
      </w:r>
      <w:r>
        <w:rPr>
          <w:rFonts w:ascii="Arial" w:hAnsi="Arial" w:cs="Arial"/>
          <w:bCs/>
          <w:iCs/>
          <w:lang w:val="pt-BR"/>
        </w:rPr>
        <w:t>);</w:t>
      </w:r>
    </w:p>
    <w:p w14:paraId="59AF0F2E">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Fonts w:ascii="Arial" w:hAnsi="Arial" w:cs="Arial"/>
          <w:bCs/>
          <w:iCs/>
          <w:lang w:val="pt-BR"/>
        </w:rPr>
        <w:t>art. 116, parágrafo único</w:t>
      </w:r>
      <w:r>
        <w:rPr>
          <w:rFonts w:ascii="Arial" w:hAnsi="Arial" w:cs="Arial"/>
          <w:bCs/>
          <w:iCs/>
          <w:lang w:val="pt-BR"/>
        </w:rPr>
        <w:fldChar w:fldCharType="end"/>
      </w:r>
      <w:r>
        <w:rPr>
          <w:rFonts w:ascii="Arial" w:hAnsi="Arial" w:cs="Arial"/>
          <w:bCs/>
          <w:iCs/>
          <w:lang w:val="pt-BR"/>
        </w:rPr>
        <w:t>);</w:t>
      </w:r>
    </w:p>
    <w:p w14:paraId="2BE63FDD">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Guardar sigilo sobre todas as informações obtidas em decorrência do cumprimento do contrato;</w:t>
      </w:r>
    </w:p>
    <w:p w14:paraId="3B2CC732">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Fonts w:ascii="Arial" w:hAnsi="Arial" w:cs="Arial"/>
          <w:bCs/>
          <w:iCs/>
          <w:lang w:val="pt-BR"/>
        </w:rPr>
        <w:t>art. 124, II, d, da Lei nº 14.133, de 2021</w:t>
      </w:r>
      <w:r>
        <w:rPr>
          <w:rFonts w:ascii="Arial" w:hAnsi="Arial" w:cs="Arial"/>
          <w:bCs/>
          <w:iCs/>
          <w:lang w:val="pt-BR"/>
        </w:rPr>
        <w:fldChar w:fldCharType="end"/>
      </w:r>
      <w:r>
        <w:rPr>
          <w:rFonts w:ascii="Arial" w:hAnsi="Arial" w:cs="Arial"/>
          <w:bCs/>
          <w:iCs/>
          <w:lang w:val="pt-BR"/>
        </w:rPr>
        <w:t>;</w:t>
      </w:r>
    </w:p>
    <w:p w14:paraId="3FE28EB3">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Cumprir, além dos postulados legais vigentes de âmbito federal, estadual ou municipal, as normas de segurança do Contratante.</w:t>
      </w:r>
    </w:p>
    <w:p w14:paraId="5965C905">
      <w:pPr>
        <w:pStyle w:val="19"/>
        <w:widowControl/>
        <w:tabs>
          <w:tab w:val="left" w:pos="426"/>
        </w:tabs>
        <w:autoSpaceDE/>
        <w:autoSpaceDN/>
        <w:spacing w:before="120" w:after="120" w:line="276" w:lineRule="auto"/>
        <w:ind w:left="0"/>
        <w:jc w:val="both"/>
        <w:rPr>
          <w:rFonts w:ascii="Arial" w:hAnsi="Arial" w:cs="Arial"/>
          <w:bCs/>
          <w:iCs/>
          <w:lang w:val="pt-BR"/>
        </w:rPr>
      </w:pPr>
    </w:p>
    <w:p w14:paraId="08F3143E">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 GARANTIA DE EXECUÇÃO (art. 92, XII)</w:t>
      </w:r>
    </w:p>
    <w:p w14:paraId="75899484">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14:paraId="4BAD1112">
      <w:pPr>
        <w:pStyle w:val="19"/>
        <w:widowControl/>
        <w:tabs>
          <w:tab w:val="left" w:pos="426"/>
        </w:tabs>
        <w:autoSpaceDE/>
        <w:autoSpaceDN/>
        <w:spacing w:before="120" w:after="120" w:line="276" w:lineRule="auto"/>
        <w:ind w:left="0"/>
        <w:jc w:val="both"/>
        <w:rPr>
          <w:rFonts w:ascii="Arial" w:hAnsi="Arial" w:cs="Arial"/>
          <w:bCs/>
          <w:i/>
          <w:color w:val="FF0000"/>
          <w:lang w:val="pt-BR"/>
        </w:rPr>
      </w:pPr>
    </w:p>
    <w:p w14:paraId="59A26649">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w:t>
      </w:r>
      <w:r>
        <w:rPr>
          <w:rFonts w:hint="default" w:ascii="Arial" w:hAnsi="Arial" w:cs="Arial" w:eastAsiaTheme="majorEastAsia"/>
          <w:b/>
          <w:bCs/>
          <w:lang w:val="en-US" w:eastAsia="pt-BR"/>
        </w:rPr>
        <w:t>PRIMEIRA</w:t>
      </w:r>
      <w:r>
        <w:rPr>
          <w:rFonts w:ascii="Arial" w:hAnsi="Arial" w:cs="Arial" w:eastAsiaTheme="majorEastAsia"/>
          <w:b/>
          <w:bCs/>
          <w:lang w:val="pt-BR" w:eastAsia="pt-BR"/>
        </w:rPr>
        <w:t xml:space="preserve">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bookmarkStart w:id="4" w:name="_GoBack"/>
      <w:bookmarkEnd w:id="4"/>
    </w:p>
    <w:p w14:paraId="372A730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bCs/>
          <w:iCs/>
          <w:lang w:val="pt-BR"/>
        </w:rPr>
        <w:t>Lei nº 14.133, de 2021</w:t>
      </w:r>
      <w:r>
        <w:rPr>
          <w:bCs/>
          <w:iCs/>
          <w:lang w:val="pt-BR"/>
        </w:rPr>
        <w:fldChar w:fldCharType="end"/>
      </w:r>
      <w:r>
        <w:rPr>
          <w:rFonts w:ascii="Arial" w:hAnsi="Arial" w:cs="Arial"/>
          <w:bCs/>
          <w:iCs/>
          <w:lang w:val="pt-BR"/>
        </w:rPr>
        <w:t>, o contratado que:</w:t>
      </w:r>
    </w:p>
    <w:p w14:paraId="728A9AFE">
      <w:pPr>
        <w:widowControl/>
        <w:numPr>
          <w:ilvl w:val="2"/>
          <w:numId w:val="5"/>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14:paraId="4A68F3DD">
      <w:pPr>
        <w:widowControl/>
        <w:numPr>
          <w:ilvl w:val="2"/>
          <w:numId w:val="5"/>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14:paraId="37604D36">
      <w:pPr>
        <w:widowControl/>
        <w:numPr>
          <w:ilvl w:val="2"/>
          <w:numId w:val="5"/>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14:paraId="047EE7FD">
      <w:pPr>
        <w:widowControl/>
        <w:numPr>
          <w:ilvl w:val="2"/>
          <w:numId w:val="5"/>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14:paraId="13968072">
      <w:pPr>
        <w:widowControl/>
        <w:numPr>
          <w:ilvl w:val="2"/>
          <w:numId w:val="5"/>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14:paraId="0FCA5D59">
      <w:pPr>
        <w:widowControl/>
        <w:numPr>
          <w:ilvl w:val="2"/>
          <w:numId w:val="5"/>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14:paraId="616BE131">
      <w:pPr>
        <w:widowControl/>
        <w:numPr>
          <w:ilvl w:val="2"/>
          <w:numId w:val="5"/>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14:paraId="02AB080B">
      <w:pPr>
        <w:widowControl/>
        <w:numPr>
          <w:ilvl w:val="2"/>
          <w:numId w:val="5"/>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14:paraId="76604F68">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14:paraId="67D33893">
      <w:pPr>
        <w:pStyle w:val="19"/>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3" w:name="_Hlk114504069"/>
      <w:r>
        <w:rPr>
          <w:rStyle w:val="9"/>
          <w:rFonts w:ascii="Arial" w:hAnsi="Arial" w:eastAsia="Arial" w:cs="Arial"/>
        </w:rPr>
        <w:t>Lei nº 14.133, de 2021</w:t>
      </w:r>
      <w:bookmarkEnd w:id="3"/>
      <w:r>
        <w:rPr>
          <w:rStyle w:val="9"/>
          <w:rFonts w:ascii="Arial" w:hAnsi="Arial" w:eastAsia="Arial" w:cs="Arial"/>
        </w:rPr>
        <w:fldChar w:fldCharType="end"/>
      </w:r>
      <w:r>
        <w:rPr>
          <w:rFonts w:ascii="Arial" w:hAnsi="Arial" w:eastAsia="Arial" w:cs="Arial"/>
        </w:rPr>
        <w:t>);</w:t>
      </w:r>
    </w:p>
    <w:p w14:paraId="2D2E509F">
      <w:pPr>
        <w:pStyle w:val="19"/>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14:paraId="64D7A8D8">
      <w:pPr>
        <w:pStyle w:val="19"/>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14:paraId="40755271">
      <w:pPr>
        <w:pStyle w:val="19"/>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14:paraId="6FE88912">
      <w:pPr>
        <w:pStyle w:val="19"/>
        <w:widowControl/>
        <w:numPr>
          <w:ilvl w:val="1"/>
          <w:numId w:val="6"/>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14:paraId="46DF7771">
      <w:pPr>
        <w:pStyle w:val="19"/>
        <w:widowControl/>
        <w:numPr>
          <w:ilvl w:val="1"/>
          <w:numId w:val="6"/>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14:paraId="05F6064B">
      <w:pPr>
        <w:pStyle w:val="19"/>
        <w:widowControl/>
        <w:numPr>
          <w:ilvl w:val="2"/>
          <w:numId w:val="6"/>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14:paraId="4A5C0F5C">
      <w:pPr>
        <w:pStyle w:val="19"/>
        <w:widowControl/>
        <w:numPr>
          <w:ilvl w:val="1"/>
          <w:numId w:val="6"/>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w:t>
      </w:r>
      <w:r>
        <w:rPr>
          <w:rFonts w:hint="default" w:ascii="Arial" w:hAnsi="Arial" w:eastAsia="Arial" w:cs="Arial"/>
          <w:lang w:val="pt-BR"/>
        </w:rPr>
        <w:t>1</w:t>
      </w:r>
      <w:r>
        <w:rPr>
          <w:rFonts w:ascii="Arial" w:hAnsi="Arial" w:eastAsia="Arial" w:cs="Arial"/>
        </w:rPr>
        <w:t>.1, de 15% a 30% do valor do Contrato.</w:t>
      </w:r>
    </w:p>
    <w:p w14:paraId="48C62B64">
      <w:pPr>
        <w:pStyle w:val="19"/>
        <w:widowControl/>
        <w:numPr>
          <w:ilvl w:val="1"/>
          <w:numId w:val="6"/>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 inexecução total do contrato prevista na alínea “c” do subitem 1</w:t>
      </w:r>
      <w:r>
        <w:rPr>
          <w:rFonts w:hint="default" w:ascii="Arial" w:hAnsi="Arial" w:eastAsia="Arial" w:cs="Arial"/>
          <w:lang w:val="pt-BR"/>
        </w:rPr>
        <w:t>1</w:t>
      </w:r>
      <w:r>
        <w:rPr>
          <w:rFonts w:ascii="Arial" w:hAnsi="Arial" w:eastAsia="Arial" w:cs="Arial"/>
        </w:rPr>
        <w:t xml:space="preserve">.1, de 15%  do valor do Contrato. </w:t>
      </w:r>
    </w:p>
    <w:p w14:paraId="757B758A">
      <w:pPr>
        <w:pStyle w:val="19"/>
        <w:widowControl/>
        <w:numPr>
          <w:ilvl w:val="1"/>
          <w:numId w:val="6"/>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w:t>
      </w:r>
      <w:r>
        <w:rPr>
          <w:rFonts w:hint="default" w:ascii="Arial" w:hAnsi="Arial" w:eastAsia="Arial" w:cs="Arial"/>
          <w:lang w:val="pt-BR"/>
        </w:rPr>
        <w:t>1</w:t>
      </w:r>
      <w:r>
        <w:rPr>
          <w:rFonts w:ascii="Arial" w:hAnsi="Arial" w:eastAsia="Arial" w:cs="Arial"/>
        </w:rPr>
        <w:t>.1, a multa será de 15%  do valor do Contrato.</w:t>
      </w:r>
    </w:p>
    <w:p w14:paraId="1C5923A6">
      <w:pPr>
        <w:pStyle w:val="19"/>
        <w:widowControl/>
        <w:numPr>
          <w:ilvl w:val="1"/>
          <w:numId w:val="6"/>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w:t>
      </w:r>
      <w:r>
        <w:rPr>
          <w:rFonts w:hint="default" w:ascii="Arial" w:hAnsi="Arial" w:eastAsia="Arial" w:cs="Arial"/>
          <w:lang w:val="pt-BR"/>
        </w:rPr>
        <w:t>1</w:t>
      </w:r>
      <w:r>
        <w:rPr>
          <w:rFonts w:ascii="Arial" w:hAnsi="Arial" w:eastAsia="Arial" w:cs="Arial"/>
        </w:rPr>
        <w:t>.1, a multa será de 5% a 10%  do valor do Contrato.</w:t>
      </w:r>
    </w:p>
    <w:p w14:paraId="22B95C2A">
      <w:pPr>
        <w:pStyle w:val="19"/>
        <w:widowControl/>
        <w:numPr>
          <w:ilvl w:val="1"/>
          <w:numId w:val="6"/>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w:t>
      </w:r>
      <w:r>
        <w:rPr>
          <w:rFonts w:hint="default" w:ascii="Arial" w:hAnsi="Arial" w:eastAsia="Arial" w:cs="Arial"/>
          <w:lang w:val="pt-BR"/>
        </w:rPr>
        <w:t>1</w:t>
      </w:r>
      <w:r>
        <w:rPr>
          <w:rFonts w:ascii="Arial" w:hAnsi="Arial" w:eastAsia="Arial" w:cs="Arial"/>
        </w:rPr>
        <w:t>.1, a multa será de 05% a 15% do valor do Contrato, ressalvadas as seguintes infrações:</w:t>
      </w:r>
    </w:p>
    <w:p w14:paraId="088DE28B">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A aplicação das sanções previstas neste Contrato não exclui, em hipótese alguma, a obrigação de reparação integral do dano causado ao Contratante</w:t>
      </w:r>
      <w:r>
        <w:t xml:space="preserve"> (</w:t>
      </w:r>
      <w:r>
        <w:fldChar w:fldCharType="begin"/>
      </w:r>
      <w:r>
        <w:instrText xml:space="preserve"> HYPERLINK "http://www.planalto.gov.br/ccivil_03/_ato2019-2022/2021/lei/L14133.htm" \l "art156§9" </w:instrText>
      </w:r>
      <w:r>
        <w:fldChar w:fldCharType="separate"/>
      </w:r>
      <w:r>
        <w:rPr>
          <w:rStyle w:val="9"/>
        </w:rPr>
        <w:t>art. 156, §9º, da Lei nº 14.133, de 2021</w:t>
      </w:r>
      <w:r>
        <w:rPr>
          <w:rStyle w:val="9"/>
        </w:rPr>
        <w:fldChar w:fldCharType="end"/>
      </w:r>
      <w:r>
        <w:t>)</w:t>
      </w:r>
    </w:p>
    <w:p w14:paraId="4638A08C">
      <w:pPr>
        <w:pStyle w:val="19"/>
        <w:widowControl/>
        <w:numPr>
          <w:ilvl w:val="2"/>
          <w:numId w:val="3"/>
        </w:numPr>
        <w:tabs>
          <w:tab w:val="left" w:pos="426"/>
        </w:tabs>
        <w:autoSpaceDE/>
        <w:autoSpaceDN/>
        <w:spacing w:before="120" w:after="120" w:line="276" w:lineRule="auto"/>
        <w:jc w:val="both"/>
      </w:pPr>
      <w:r>
        <w:rPr>
          <w:rFonts w:ascii="Arial" w:hAnsi="Arial" w:eastAsia="Arial" w:cs="Arial"/>
        </w:rPr>
        <w:t>Todas as sanções previstas neste Contrato poderão ser aplicadas cumulativamente com a multa</w:t>
      </w:r>
      <w:r>
        <w:t xml:space="preserve"> (</w:t>
      </w:r>
      <w:r>
        <w:fldChar w:fldCharType="begin"/>
      </w:r>
      <w:r>
        <w:instrText xml:space="preserve"> HYPERLINK "http://www.planalto.gov.br/ccivil_03/_ato2019-2022/2021/lei/L14133.htm" \l "art156§7" </w:instrText>
      </w:r>
      <w:r>
        <w:fldChar w:fldCharType="separate"/>
      </w:r>
      <w:r>
        <w:rPr>
          <w:rStyle w:val="9"/>
        </w:rPr>
        <w:t>art. 156, §7º, da Lei nº 14.133, de 2021</w:t>
      </w:r>
      <w:r>
        <w:rPr>
          <w:rStyle w:val="9"/>
        </w:rPr>
        <w:fldChar w:fldCharType="end"/>
      </w:r>
      <w:r>
        <w:t>).</w:t>
      </w:r>
    </w:p>
    <w:p w14:paraId="05740197">
      <w:pPr>
        <w:pStyle w:val="19"/>
        <w:widowControl/>
        <w:numPr>
          <w:ilvl w:val="2"/>
          <w:numId w:val="3"/>
        </w:numPr>
        <w:tabs>
          <w:tab w:val="left" w:pos="426"/>
        </w:tabs>
        <w:autoSpaceDE/>
        <w:autoSpaceDN/>
        <w:spacing w:before="120" w:after="120" w:line="276" w:lineRule="auto"/>
        <w:jc w:val="both"/>
      </w:pPr>
      <w:r>
        <w:rPr>
          <w:rFonts w:ascii="Arial" w:hAnsi="Arial" w:eastAsia="Arial" w:cs="Arial"/>
        </w:rPr>
        <w:t>Antes da aplicação da multa será facultada a defesa do interessado no prazo de 15 (quinze) dias úteis, contado da data de sua intimação</w:t>
      </w:r>
      <w:r>
        <w:t xml:space="preserve"> (</w:t>
      </w:r>
      <w:r>
        <w:fldChar w:fldCharType="begin"/>
      </w:r>
      <w:r>
        <w:instrText xml:space="preserve"> HYPERLINK "http://www.planalto.gov.br/ccivil_03/_ato2019-2022/2021/lei/L14133.htm" \l "art157" </w:instrText>
      </w:r>
      <w:r>
        <w:fldChar w:fldCharType="separate"/>
      </w:r>
      <w:r>
        <w:rPr>
          <w:rStyle w:val="9"/>
        </w:rPr>
        <w:t>art. 157, da Lei nº 14.133, de 2021</w:t>
      </w:r>
      <w:r>
        <w:rPr>
          <w:rStyle w:val="9"/>
        </w:rPr>
        <w:fldChar w:fldCharType="end"/>
      </w:r>
      <w:r>
        <w:t>)</w:t>
      </w:r>
    </w:p>
    <w:p w14:paraId="4E6DB274">
      <w:pPr>
        <w:pStyle w:val="19"/>
        <w:widowControl/>
        <w:numPr>
          <w:ilvl w:val="2"/>
          <w:numId w:val="3"/>
        </w:numPr>
        <w:tabs>
          <w:tab w:val="left" w:pos="426"/>
        </w:tabs>
        <w:autoSpaceDE/>
        <w:autoSpaceDN/>
        <w:spacing w:before="120" w:after="120" w:line="276" w:lineRule="auto"/>
        <w:jc w:val="both"/>
      </w:pPr>
      <w:r>
        <w:rPr>
          <w:rFonts w:ascii="Arial" w:hAnsi="Arial" w:eastAsia="Arial" w:cs="Arial"/>
        </w:rPr>
        <w:t>Se a multa aplicada e as indenizações cabíveis forem superiores ao valor do pagamento eventualmente devido pelo Contratante ao Contratado, além da perda desse valor, a diferença será descontada da garantia prestada ou será cobrada judicialmente</w:t>
      </w:r>
      <w:r>
        <w:t xml:space="preserve"> (</w:t>
      </w:r>
      <w:r>
        <w:fldChar w:fldCharType="begin"/>
      </w:r>
      <w:r>
        <w:instrText xml:space="preserve"> HYPERLINK "http://www.planalto.gov.br/ccivil_03/_ato2019-2022/2021/lei/L14133.htm" \l "art156§8" </w:instrText>
      </w:r>
      <w:r>
        <w:fldChar w:fldCharType="separate"/>
      </w:r>
      <w:r>
        <w:rPr>
          <w:rStyle w:val="9"/>
        </w:rPr>
        <w:t>art. 156, §8º, da Lei nº 14.133, de 2021</w:t>
      </w:r>
      <w:r>
        <w:rPr>
          <w:rStyle w:val="9"/>
        </w:rPr>
        <w:fldChar w:fldCharType="end"/>
      </w:r>
      <w:r>
        <w:t>).</w:t>
      </w:r>
    </w:p>
    <w:p w14:paraId="6163F99C">
      <w:pPr>
        <w:pStyle w:val="19"/>
        <w:widowControl/>
        <w:numPr>
          <w:ilvl w:val="2"/>
          <w:numId w:val="3"/>
        </w:numPr>
        <w:tabs>
          <w:tab w:val="left" w:pos="426"/>
        </w:tabs>
        <w:autoSpaceDE/>
        <w:autoSpaceDN/>
        <w:spacing w:before="120" w:after="120" w:line="276" w:lineRule="auto"/>
        <w:jc w:val="both"/>
        <w:rPr>
          <w:rFonts w:ascii="Arial" w:hAnsi="Arial" w:eastAsia="Arial" w:cs="Arial"/>
        </w:rPr>
      </w:pPr>
      <w:r>
        <w:rPr>
          <w:rFonts w:ascii="Arial" w:hAnsi="Arial" w:eastAsia="Arial" w:cs="Arial"/>
        </w:rPr>
        <w:t>Previamente ao encaminhamento à cobrança judicial, a multa poderá ser recolhida administrativamente no prazo máximo de 30 (trinta) dias, a contar da data do recebimento da comunicação enviada pela autoridade competente.</w:t>
      </w:r>
    </w:p>
    <w:p w14:paraId="536BBDF9">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A aplicação das sanções realizar-se-á em processo administrativo que assegure o contraditório e a ampla defesa ao Contratado, observando-se o procedimento previsto no</w:t>
      </w:r>
      <w:r>
        <w:t xml:space="preserve"> </w:t>
      </w:r>
      <w:r>
        <w:rPr>
          <w:rFonts w:ascii="Arial" w:hAnsi="Arial" w:eastAsia="Arial" w:cs="Arial"/>
          <w:b/>
          <w:bCs/>
        </w:rPr>
        <w:t>caput</w:t>
      </w:r>
      <w:r>
        <w:rPr>
          <w:rFonts w:ascii="Arial" w:hAnsi="Arial" w:eastAsia="Arial" w:cs="Arial"/>
        </w:rPr>
        <w:t xml:space="preserve"> e parágrafos do</w:t>
      </w:r>
      <w:r>
        <w:t xml:space="preserve"> </w:t>
      </w:r>
      <w:r>
        <w:fldChar w:fldCharType="begin"/>
      </w:r>
      <w:r>
        <w:instrText xml:space="preserve"> HYPERLINK "http://www.planalto.gov.br/ccivil_03/_ato2019-2022/2021/lei/L14133.htm" \l "art158" </w:instrText>
      </w:r>
      <w:r>
        <w:fldChar w:fldCharType="separate"/>
      </w:r>
      <w:r>
        <w:rPr>
          <w:rStyle w:val="9"/>
        </w:rPr>
        <w:t>art. 158 da Lei nº 14.133, de 2021</w:t>
      </w:r>
      <w:r>
        <w:rPr>
          <w:rStyle w:val="9"/>
        </w:rPr>
        <w:fldChar w:fldCharType="end"/>
      </w:r>
      <w:r>
        <w:rPr>
          <w:rFonts w:ascii="Arial" w:hAnsi="Arial" w:eastAsia="Arial" w:cs="Arial"/>
        </w:rPr>
        <w:t>, para as penalidades de impedimento de licitar e contratar e de declaração de inidoneidade para licitar ou contratar.</w:t>
      </w:r>
    </w:p>
    <w:p w14:paraId="6763CD4D">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Na aplicação das sanções serão considerados</w:t>
      </w:r>
      <w:r>
        <w:t xml:space="preserve"> (</w:t>
      </w:r>
      <w:r>
        <w:fldChar w:fldCharType="begin"/>
      </w:r>
      <w:r>
        <w:instrText xml:space="preserve"> HYPERLINK "http://www.planalto.gov.br/ccivil_03/_ato2019-2022/2021/lei/L14133.htm" \l "art156§1" </w:instrText>
      </w:r>
      <w:r>
        <w:fldChar w:fldCharType="separate"/>
      </w:r>
      <w:r>
        <w:rPr>
          <w:rStyle w:val="9"/>
        </w:rPr>
        <w:t>art. 156, §1º, da Lei nº 14.133, de 2021</w:t>
      </w:r>
      <w:r>
        <w:rPr>
          <w:rStyle w:val="9"/>
        </w:rPr>
        <w:fldChar w:fldCharType="end"/>
      </w:r>
      <w:r>
        <w:t>):</w:t>
      </w:r>
    </w:p>
    <w:p w14:paraId="7AC7E6A0">
      <w:pPr>
        <w:widowControl/>
        <w:numPr>
          <w:ilvl w:val="0"/>
          <w:numId w:val="7"/>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14:paraId="61E7784A">
      <w:pPr>
        <w:widowControl/>
        <w:numPr>
          <w:ilvl w:val="0"/>
          <w:numId w:val="7"/>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14:paraId="07FEABF1">
      <w:pPr>
        <w:widowControl/>
        <w:numPr>
          <w:ilvl w:val="0"/>
          <w:numId w:val="7"/>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14:paraId="5016F618">
      <w:pPr>
        <w:widowControl/>
        <w:numPr>
          <w:ilvl w:val="0"/>
          <w:numId w:val="7"/>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14:paraId="1BEBE3BE">
      <w:pPr>
        <w:widowControl/>
        <w:numPr>
          <w:ilvl w:val="0"/>
          <w:numId w:val="7"/>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14:paraId="438CAE84">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Os atos previstos como infrações administrativas na</w:t>
      </w:r>
      <w:r>
        <w:t xml:space="preserve"> </w:t>
      </w:r>
      <w:r>
        <w:fldChar w:fldCharType="begin"/>
      </w:r>
      <w:r>
        <w:instrText xml:space="preserve"> HYPERLINK "http://www.planalto.gov.br/ccivil_03/_ato2019-2022/2021/lei/L14133.htm" </w:instrText>
      </w:r>
      <w:r>
        <w:fldChar w:fldCharType="separate"/>
      </w:r>
      <w:r>
        <w:rPr>
          <w:rStyle w:val="9"/>
        </w:rPr>
        <w:t>Lei nº 14.133, de 2021</w:t>
      </w:r>
      <w:r>
        <w:rPr>
          <w:rStyle w:val="9"/>
        </w:rPr>
        <w:fldChar w:fldCharType="end"/>
      </w:r>
      <w:r>
        <w:rPr>
          <w:rFonts w:ascii="Arial" w:hAnsi="Arial" w:eastAsia="Arial" w:cs="Arial"/>
        </w:rPr>
        <w:t>, ou em outras leis de licitações e contratos da Administração Pública que também sejam tipificados como atos lesivos na</w:t>
      </w:r>
      <w:r>
        <w:t xml:space="preserve"> </w:t>
      </w:r>
      <w:r>
        <w:fldChar w:fldCharType="begin"/>
      </w:r>
      <w:r>
        <w:instrText xml:space="preserve"> HYPERLINK "https://www.planalto.gov.br/ccivil_03/_ato2011-2014/2013/lei/l12846.htm" </w:instrText>
      </w:r>
      <w:r>
        <w:fldChar w:fldCharType="separate"/>
      </w:r>
      <w:r>
        <w:rPr>
          <w:rStyle w:val="9"/>
        </w:rPr>
        <w:t>Lei nº 12.846, de 2013</w:t>
      </w:r>
      <w:r>
        <w:rPr>
          <w:rStyle w:val="9"/>
        </w:rPr>
        <w:fldChar w:fldCharType="end"/>
      </w:r>
      <w:r>
        <w:rPr>
          <w:rFonts w:ascii="Arial" w:hAnsi="Arial" w:eastAsia="Arial" w:cs="Arial"/>
        </w:rPr>
        <w:t>, serão apurados e julgados conjuntamente, nos mesmos autos, observados o rito procedimental e autoridade competente definidos na referida Lei</w:t>
      </w:r>
      <w:r>
        <w:t xml:space="preserve"> (</w:t>
      </w:r>
      <w:r>
        <w:fldChar w:fldCharType="begin"/>
      </w:r>
      <w:r>
        <w:instrText xml:space="preserve"> HYPERLINK "http://www.planalto.gov.br/ccivil_03/_ato2019-2022/2021/lei/L14133.htm%25art159" </w:instrText>
      </w:r>
      <w:r>
        <w:fldChar w:fldCharType="separate"/>
      </w:r>
      <w:r>
        <w:rPr>
          <w:rStyle w:val="9"/>
        </w:rPr>
        <w:t>art. 159</w:t>
      </w:r>
      <w:r>
        <w:rPr>
          <w:rStyle w:val="9"/>
        </w:rPr>
        <w:fldChar w:fldCharType="end"/>
      </w:r>
      <w:r>
        <w:t>).</w:t>
      </w:r>
    </w:p>
    <w:p w14:paraId="070FC42A">
      <w:pPr>
        <w:pStyle w:val="19"/>
        <w:widowControl/>
        <w:numPr>
          <w:ilvl w:val="1"/>
          <w:numId w:val="3"/>
        </w:numPr>
        <w:tabs>
          <w:tab w:val="left" w:pos="426"/>
        </w:tabs>
        <w:autoSpaceDE/>
        <w:autoSpaceDN/>
        <w:spacing w:before="120" w:after="120" w:line="276" w:lineRule="auto"/>
        <w:ind w:left="0" w:firstLine="0"/>
        <w:jc w:val="both"/>
        <w:rPr>
          <w:i/>
          <w:iCs/>
        </w:rPr>
      </w:pPr>
      <w:r>
        <w:rPr>
          <w:rFonts w:ascii="Arial" w:hAnsi="Arial" w:eastAsia="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r>
        <w:t xml:space="preserve"> (</w:t>
      </w:r>
      <w:r>
        <w:fldChar w:fldCharType="begin"/>
      </w:r>
      <w:r>
        <w:instrText xml:space="preserve"> HYPERLINK "http://www.planalto.gov.br/ccivil_03/_ato2019-2022/2021/lei/L14133.htm" \l "art160" </w:instrText>
      </w:r>
      <w:r>
        <w:fldChar w:fldCharType="separate"/>
      </w:r>
      <w:r>
        <w:rPr>
          <w:rStyle w:val="9"/>
        </w:rPr>
        <w:t>art. 160, da Lei nº 14.133, de 2021</w:t>
      </w:r>
      <w:r>
        <w:rPr>
          <w:rStyle w:val="9"/>
        </w:rPr>
        <w:fldChar w:fldCharType="end"/>
      </w:r>
      <w:r>
        <w:t>).</w:t>
      </w:r>
    </w:p>
    <w:p w14:paraId="02E53A4E">
      <w:pPr>
        <w:pStyle w:val="19"/>
        <w:widowControl/>
        <w:numPr>
          <w:ilvl w:val="1"/>
          <w:numId w:val="3"/>
        </w:numPr>
        <w:tabs>
          <w:tab w:val="left" w:pos="426"/>
        </w:tabs>
        <w:autoSpaceDE/>
        <w:autoSpaceDN/>
        <w:spacing w:before="120" w:after="120" w:line="276" w:lineRule="auto"/>
        <w:ind w:left="0" w:firstLine="0"/>
        <w:jc w:val="both"/>
        <w:rPr>
          <w:i/>
          <w:iCs/>
        </w:rPr>
      </w:pPr>
      <w:r>
        <w:t xml:space="preserve"> </w:t>
      </w:r>
      <w:r>
        <w:rPr>
          <w:rFonts w:ascii="Arial" w:hAnsi="Arial" w:eastAsia="Arial" w:cs="Arial"/>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r>
        <w:t xml:space="preserve"> (</w:t>
      </w:r>
      <w:r>
        <w:fldChar w:fldCharType="begin"/>
      </w:r>
      <w:r>
        <w:instrText xml:space="preserve"> HYPERLINK "http://www.planalto.gov.br/ccivil_03/_ato2019-2022/2021/lei/L14133.htm" \l "art161" </w:instrText>
      </w:r>
      <w:r>
        <w:fldChar w:fldCharType="separate"/>
      </w:r>
      <w:r>
        <w:rPr>
          <w:rStyle w:val="9"/>
        </w:rPr>
        <w:t>Art. 161, da Lei nº 14.133, de 2021</w:t>
      </w:r>
      <w:r>
        <w:rPr>
          <w:rStyle w:val="9"/>
        </w:rPr>
        <w:fldChar w:fldCharType="end"/>
      </w:r>
      <w:r>
        <w:t>).</w:t>
      </w:r>
    </w:p>
    <w:p w14:paraId="2EFA7AE8">
      <w:pPr>
        <w:pStyle w:val="19"/>
        <w:widowControl/>
        <w:numPr>
          <w:ilvl w:val="1"/>
          <w:numId w:val="3"/>
        </w:numPr>
        <w:tabs>
          <w:tab w:val="left" w:pos="426"/>
        </w:tabs>
        <w:autoSpaceDE/>
        <w:autoSpaceDN/>
        <w:spacing w:before="120" w:after="120" w:line="276" w:lineRule="auto"/>
        <w:ind w:left="0" w:firstLine="0"/>
        <w:jc w:val="both"/>
        <w:rPr>
          <w:i/>
          <w:iCs/>
        </w:rPr>
      </w:pPr>
      <w:r>
        <w:rPr>
          <w:rFonts w:ascii="Arial" w:hAnsi="Arial" w:eastAsia="Arial" w:cs="Arial"/>
        </w:rPr>
        <w:t>As sanções de impedimento de licitar e contratar e declaração de inidoneidade para licitar ou contratar são passíveis de reabilitação na forma do</w:t>
      </w:r>
      <w:r>
        <w:t xml:space="preserve"> </w:t>
      </w:r>
      <w:r>
        <w:fldChar w:fldCharType="begin"/>
      </w:r>
      <w:r>
        <w:instrText xml:space="preserve"> HYPERLINK "http://www.planalto.gov.br/ccivil_03/_ato2019-2022/2021/lei/L14133.htm" \l "163" </w:instrText>
      </w:r>
      <w:r>
        <w:fldChar w:fldCharType="separate"/>
      </w:r>
      <w:r>
        <w:rPr>
          <w:rStyle w:val="9"/>
        </w:rPr>
        <w:t>art. 163 da Lei nº 14.133/21</w:t>
      </w:r>
      <w:r>
        <w:rPr>
          <w:rStyle w:val="9"/>
        </w:rPr>
        <w:fldChar w:fldCharType="end"/>
      </w:r>
      <w:r>
        <w:t>.</w:t>
      </w:r>
    </w:p>
    <w:p w14:paraId="5A49F571">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w:t>
      </w:r>
      <w:r>
        <w:t xml:space="preserve"> </w:t>
      </w:r>
      <w:r>
        <w:fldChar w:fldCharType="begin"/>
      </w:r>
      <w:r>
        <w:instrText xml:space="preserve"> HYPERLINK "https://www.gov.br/compras/pt-br/acesso-a-informacao/legislacao/instrucoes-normativas/instrucao-normativa-seges-me-no-26-de-13-de-abril-de-2022" </w:instrText>
      </w:r>
      <w:r>
        <w:fldChar w:fldCharType="separate"/>
      </w:r>
      <w:r>
        <w:rPr>
          <w:rStyle w:val="9"/>
        </w:rPr>
        <w:t>Normativa SEGES/ME nº 26, de 13 de abril de 2022</w:t>
      </w:r>
      <w:r>
        <w:rPr>
          <w:rStyle w:val="9"/>
        </w:rPr>
        <w:fldChar w:fldCharType="end"/>
      </w:r>
      <w:r>
        <w:t xml:space="preserve">. </w:t>
      </w:r>
    </w:p>
    <w:p w14:paraId="5ACB71AD">
      <w:pPr>
        <w:pStyle w:val="34"/>
        <w:numPr>
          <w:ilvl w:val="0"/>
          <w:numId w:val="3"/>
        </w:numPr>
        <w:tabs>
          <w:tab w:val="left" w:pos="284"/>
          <w:tab w:val="left" w:pos="993"/>
        </w:tabs>
        <w:spacing w:line="276" w:lineRule="auto"/>
        <w:ind w:left="0" w:firstLine="0"/>
        <w:rPr>
          <w:rFonts w:ascii="Arial" w:hAnsi="Arial" w:cs="Arial"/>
        </w:rPr>
      </w:pPr>
      <w:r>
        <w:rPr>
          <w:rFonts w:ascii="Arial" w:hAnsi="Arial" w:cs="Arial"/>
          <w:sz w:val="22"/>
          <w:szCs w:val="22"/>
        </w:rPr>
        <w:t xml:space="preserve">- CLÁUSULA DÉCIMA </w:t>
      </w:r>
      <w:r>
        <w:rPr>
          <w:rFonts w:hint="default" w:ascii="Arial" w:hAnsi="Arial" w:cs="Arial"/>
          <w:sz w:val="22"/>
          <w:szCs w:val="22"/>
          <w:lang w:val="pt-BR"/>
        </w:rPr>
        <w:t>SEGUNDA</w:t>
      </w:r>
      <w:r>
        <w:rPr>
          <w:rFonts w:ascii="Arial" w:hAnsi="Arial" w:cs="Arial"/>
          <w:sz w:val="22"/>
          <w:szCs w:val="22"/>
        </w:rPr>
        <w:t xml:space="preserve"> – DA EXTINÇÃO CONTRATUAL</w:t>
      </w:r>
      <w:r>
        <w:rPr>
          <w:rFonts w:ascii="Arial" w:hAnsi="Arial" w:cs="Arial"/>
        </w:rPr>
        <w:t xml:space="preserve"> (</w:t>
      </w:r>
      <w:r>
        <w:fldChar w:fldCharType="begin"/>
      </w:r>
      <w:r>
        <w:instrText xml:space="preserve"> HYPERLINK "http://www.planalto.gov.br/ccivil_03/_ato2019-2022/2021/lei/L14133.htm" \l "art92" </w:instrText>
      </w:r>
      <w:r>
        <w:fldChar w:fldCharType="separate"/>
      </w:r>
      <w:r>
        <w:rPr>
          <w:rStyle w:val="9"/>
          <w:rFonts w:ascii="Arial" w:hAnsi="Arial" w:cs="Arial"/>
        </w:rPr>
        <w:t>art. 92, XIX</w:t>
      </w:r>
      <w:r>
        <w:rPr>
          <w:rStyle w:val="9"/>
          <w:rFonts w:ascii="Arial" w:hAnsi="Arial" w:cs="Arial"/>
        </w:rPr>
        <w:fldChar w:fldCharType="end"/>
      </w:r>
      <w:r>
        <w:rPr>
          <w:rFonts w:ascii="Arial" w:hAnsi="Arial" w:cs="Arial"/>
        </w:rPr>
        <w:t xml:space="preserve">) </w:t>
      </w:r>
    </w:p>
    <w:p w14:paraId="6F6BD1BB">
      <w:pPr>
        <w:pStyle w:val="19"/>
        <w:widowControl/>
        <w:numPr>
          <w:ilvl w:val="1"/>
          <w:numId w:val="3"/>
        </w:numPr>
        <w:tabs>
          <w:tab w:val="left" w:pos="709"/>
        </w:tabs>
        <w:autoSpaceDE/>
        <w:autoSpaceDN/>
        <w:spacing w:before="120" w:after="120" w:line="276" w:lineRule="auto"/>
        <w:ind w:left="0" w:firstLine="0"/>
        <w:jc w:val="both"/>
        <w:rPr>
          <w:rFonts w:ascii="Arial" w:hAnsi="Arial" w:eastAsia="Arial" w:cs="Arial"/>
        </w:rPr>
      </w:pPr>
      <w:r>
        <w:rPr>
          <w:rFonts w:ascii="Arial" w:hAnsi="Arial" w:eastAsia="Arial" w:cs="Arial"/>
        </w:rPr>
        <w:t>O contrato será extinto quando cumpridas as obrigações de ambas as partes, ainda que isso ocorra antes do prazo estipulado para tanto.</w:t>
      </w:r>
    </w:p>
    <w:p w14:paraId="1659E80D">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Se as obrigações não forem cumpridas no prazo estipulado, a vigência ficará prorrogada até a conclusão do objeto, caso em que deverá a Administração providenciar a readequação do cronograma fixado para o contrato.</w:t>
      </w:r>
    </w:p>
    <w:p w14:paraId="1227EA9B">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Quando a não conclusão do contrato referida no item anterior decorrer de culpa do contratado:</w:t>
      </w:r>
    </w:p>
    <w:p w14:paraId="205FF269">
      <w:pPr>
        <w:pStyle w:val="19"/>
        <w:widowControl/>
        <w:numPr>
          <w:ilvl w:val="1"/>
          <w:numId w:val="8"/>
        </w:numPr>
        <w:tabs>
          <w:tab w:val="left" w:pos="426"/>
        </w:tabs>
        <w:autoSpaceDE/>
        <w:autoSpaceDN/>
        <w:spacing w:before="120" w:after="120" w:line="276" w:lineRule="auto"/>
        <w:ind w:left="709"/>
        <w:jc w:val="both"/>
        <w:rPr>
          <w:rFonts w:ascii="Arial" w:hAnsi="Arial" w:eastAsia="Arial" w:cs="Arial"/>
        </w:rPr>
      </w:pPr>
      <w:r>
        <w:rPr>
          <w:rFonts w:ascii="Arial" w:hAnsi="Arial" w:eastAsia="Arial" w:cs="Arial"/>
        </w:rPr>
        <w:t xml:space="preserve">ficará ele constituído em mora, sendo-lhe aplicáveis as respectivas sanções administrativas; e  </w:t>
      </w:r>
    </w:p>
    <w:p w14:paraId="1BE35F2B">
      <w:pPr>
        <w:pStyle w:val="19"/>
        <w:widowControl/>
        <w:numPr>
          <w:ilvl w:val="1"/>
          <w:numId w:val="8"/>
        </w:numPr>
        <w:tabs>
          <w:tab w:val="left" w:pos="426"/>
        </w:tabs>
        <w:autoSpaceDE/>
        <w:autoSpaceDN/>
        <w:spacing w:before="120" w:after="120" w:line="276" w:lineRule="auto"/>
        <w:ind w:left="709"/>
        <w:jc w:val="both"/>
        <w:rPr>
          <w:rFonts w:ascii="Arial" w:hAnsi="Arial" w:eastAsia="Arial" w:cs="Arial"/>
        </w:rPr>
      </w:pPr>
      <w:r>
        <w:rPr>
          <w:rFonts w:ascii="Arial" w:hAnsi="Arial" w:eastAsia="Arial" w:cs="Arial"/>
        </w:rPr>
        <w:t>poderá a Administração optar pela extinção do contrato e, nesse caso, adotará as medidas admitidas em lei para a continuidade da execução contratual</w:t>
      </w:r>
    </w:p>
    <w:p w14:paraId="67053E4B">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O contrato poderá ser extinto antes de cumpridas as obrigações nele estipuladas, ou antes do prazo nele fixado, por algum dos motivos previstos no</w:t>
      </w:r>
      <w:r>
        <w:t xml:space="preserve"> </w:t>
      </w:r>
      <w:r>
        <w:fldChar w:fldCharType="begin"/>
      </w:r>
      <w:r>
        <w:instrText xml:space="preserve"> HYPERLINK "http://www.planalto.gov.br/ccivil_03/_ato2019-2022/2021/lei/L14133.htm" \l "art137" </w:instrText>
      </w:r>
      <w:r>
        <w:fldChar w:fldCharType="separate"/>
      </w:r>
      <w:r>
        <w:rPr>
          <w:rStyle w:val="9"/>
        </w:rPr>
        <w:t>artigo 137 da Lei nº 14.133/21</w:t>
      </w:r>
      <w:r>
        <w:rPr>
          <w:rStyle w:val="9"/>
        </w:rPr>
        <w:fldChar w:fldCharType="end"/>
      </w:r>
      <w:r>
        <w:rPr>
          <w:rFonts w:ascii="Arial" w:hAnsi="Arial" w:eastAsia="Arial" w:cs="Arial"/>
        </w:rPr>
        <w:t>, bem como amigavelmente, assegurados o contraditório e a ampla defesa.</w:t>
      </w:r>
    </w:p>
    <w:p w14:paraId="4F33BC54">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 xml:space="preserve">  Nesta hipótese, aplicam-se também os</w:t>
      </w:r>
      <w:r>
        <w:t xml:space="preserve"> </w:t>
      </w:r>
      <w:r>
        <w:fldChar w:fldCharType="begin"/>
      </w:r>
      <w:r>
        <w:instrText xml:space="preserve"> HYPERLINK "http://www.planalto.gov.br/ccivil_03/_ato2019-2022/2021/lei/L14133.htm" \l "art138" </w:instrText>
      </w:r>
      <w:r>
        <w:fldChar w:fldCharType="separate"/>
      </w:r>
      <w:r>
        <w:rPr>
          <w:rStyle w:val="9"/>
        </w:rPr>
        <w:t>artigos 138 e 139</w:t>
      </w:r>
      <w:r>
        <w:rPr>
          <w:rStyle w:val="9"/>
        </w:rPr>
        <w:fldChar w:fldCharType="end"/>
      </w:r>
      <w:r>
        <w:t xml:space="preserve"> </w:t>
      </w:r>
      <w:r>
        <w:rPr>
          <w:rFonts w:ascii="Arial" w:hAnsi="Arial" w:eastAsia="Arial" w:cs="Arial"/>
        </w:rPr>
        <w:t>da mesma Lei.</w:t>
      </w:r>
    </w:p>
    <w:p w14:paraId="0ECCD0BD">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A alteração social ou a modificação da finalidade ou da estrutura da empresa não ensejará a extinção se não restringir sua capacidade de concluir o contrato.</w:t>
      </w:r>
    </w:p>
    <w:p w14:paraId="62709D8D">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Se a operação implicar mudança da pessoa jurídica contratada, deverá ser formalizado termo aditivo para alteração subjetiva.</w:t>
      </w:r>
    </w:p>
    <w:p w14:paraId="15592196">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O termo de extinção, sempre que possível, será precedido:</w:t>
      </w:r>
    </w:p>
    <w:p w14:paraId="176A3888">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Balanço dos eventos contratuais já cumpridos ou parcialmente cumpridos;</w:t>
      </w:r>
    </w:p>
    <w:p w14:paraId="6107865B">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Relação dos pagamentos já efetuados e ainda devidos;</w:t>
      </w:r>
    </w:p>
    <w:p w14:paraId="78BA3FCD">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Indenizações e multas.</w:t>
      </w:r>
    </w:p>
    <w:p w14:paraId="1C2E8726">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A extinção do contrato não configura óbice para o reconhecimento do desequilíbrio econômico-financeiro, hipótese em que será concedida indenização por meio de termo indenizatório</w:t>
      </w:r>
      <w:r>
        <w:t xml:space="preserve"> (</w:t>
      </w:r>
      <w:r>
        <w:fldChar w:fldCharType="begin"/>
      </w:r>
      <w:r>
        <w:instrText xml:space="preserve"> HYPERLINK "http://www.planalto.gov.br/ccivil_03/_ato2019-2022/2021/lei/L14133.htm" \l "art131" </w:instrText>
      </w:r>
      <w:r>
        <w:fldChar w:fldCharType="separate"/>
      </w:r>
      <w:r>
        <w:rPr>
          <w:rStyle w:val="9"/>
        </w:rPr>
        <w:t xml:space="preserve">art. 131, </w:t>
      </w:r>
      <w:r>
        <w:rPr>
          <w:rStyle w:val="9"/>
          <w:i/>
          <w:iCs/>
        </w:rPr>
        <w:t xml:space="preserve">caput, </w:t>
      </w:r>
      <w:r>
        <w:rPr>
          <w:rStyle w:val="9"/>
        </w:rPr>
        <w:t>da Lei n.º 14.133, de 2021).</w:t>
      </w:r>
      <w:r>
        <w:rPr>
          <w:rStyle w:val="9"/>
        </w:rPr>
        <w:fldChar w:fldCharType="end"/>
      </w:r>
      <w:r>
        <w:t xml:space="preserve"> </w:t>
      </w:r>
    </w:p>
    <w:p w14:paraId="28FB6C72">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507C1573">
      <w:pPr>
        <w:pStyle w:val="34"/>
        <w:numPr>
          <w:ilvl w:val="0"/>
          <w:numId w:val="3"/>
        </w:numPr>
        <w:tabs>
          <w:tab w:val="left" w:pos="284"/>
          <w:tab w:val="left" w:pos="993"/>
        </w:tabs>
        <w:spacing w:line="276" w:lineRule="auto"/>
        <w:ind w:left="0" w:firstLine="0"/>
      </w:pPr>
      <w:r>
        <w:rPr>
          <w:rFonts w:ascii="Arial" w:hAnsi="Arial" w:cs="Arial"/>
          <w:sz w:val="22"/>
          <w:szCs w:val="22"/>
        </w:rPr>
        <w:t xml:space="preserve"> CLÁUSULA DÉCIMA </w:t>
      </w:r>
      <w:r>
        <w:rPr>
          <w:rFonts w:hint="default" w:ascii="Arial" w:hAnsi="Arial" w:cs="Arial"/>
          <w:sz w:val="22"/>
          <w:szCs w:val="22"/>
          <w:lang w:val="pt-BR"/>
        </w:rPr>
        <w:t>TERCEIRA</w:t>
      </w:r>
      <w:r>
        <w:rPr>
          <w:rFonts w:ascii="Arial" w:hAnsi="Arial" w:cs="Arial"/>
          <w:sz w:val="22"/>
          <w:szCs w:val="22"/>
        </w:rPr>
        <w:t xml:space="preserve"> – DOTAÇÃO ORÇAMENTÁRIA</w:t>
      </w:r>
      <w:r>
        <w:t xml:space="preserve"> </w:t>
      </w:r>
      <w:r>
        <w:rPr>
          <w:sz w:val="22"/>
          <w:szCs w:val="22"/>
        </w:rPr>
        <w:t>(</w:t>
      </w:r>
      <w:r>
        <w:fldChar w:fldCharType="begin"/>
      </w:r>
      <w:r>
        <w:instrText xml:space="preserve"> HYPERLINK "http://www.planalto.gov.br/ccivil_03/_ato2019-2022/2021/lei/L14133.htm" \l "art92" </w:instrText>
      </w:r>
      <w:r>
        <w:fldChar w:fldCharType="separate"/>
      </w:r>
      <w:r>
        <w:rPr>
          <w:rStyle w:val="9"/>
          <w:sz w:val="22"/>
          <w:szCs w:val="22"/>
        </w:rPr>
        <w:t>art. 92, VIII</w:t>
      </w:r>
      <w:r>
        <w:rPr>
          <w:rStyle w:val="9"/>
          <w:sz w:val="22"/>
          <w:szCs w:val="22"/>
        </w:rPr>
        <w:fldChar w:fldCharType="end"/>
      </w:r>
      <w:r>
        <w:rPr>
          <w:sz w:val="22"/>
          <w:szCs w:val="22"/>
        </w:rPr>
        <w:t>)</w:t>
      </w:r>
    </w:p>
    <w:p w14:paraId="01FD3EA2">
      <w:pPr>
        <w:pStyle w:val="19"/>
        <w:numPr>
          <w:ilvl w:val="0"/>
          <w:numId w:val="0"/>
        </w:numPr>
        <w:tabs>
          <w:tab w:val="left" w:pos="426"/>
        </w:tabs>
        <w:ind w:leftChars="0"/>
        <w:jc w:val="both"/>
        <w:rPr>
          <w:rFonts w:ascii="Arial" w:hAnsi="Arial" w:eastAsia="Arial" w:cs="Arial"/>
        </w:rPr>
      </w:pPr>
      <w:r>
        <w:rPr>
          <w:rFonts w:hint="default" w:ascii="Arial" w:hAnsi="Arial" w:eastAsia="Arial" w:cs="Arial"/>
          <w:lang w:val="pt-BR" w:eastAsia="en-US"/>
        </w:rPr>
        <w:t xml:space="preserve">13.1 </w:t>
      </w:r>
      <w:r>
        <w:rPr>
          <w:rFonts w:ascii="Arial" w:hAnsi="Arial" w:eastAsia="Arial" w:cs="Arial"/>
          <w:lang w:eastAsia="en-US"/>
        </w:rPr>
        <w:t>As despesas decorrentes da presente contratação correrão à conta de recursos específicos consignados no Orçamento do Município.</w:t>
      </w:r>
    </w:p>
    <w:p w14:paraId="2E171D12">
      <w:pPr>
        <w:pStyle w:val="19"/>
        <w:numPr>
          <w:ilvl w:val="0"/>
          <w:numId w:val="0"/>
        </w:numPr>
        <w:tabs>
          <w:tab w:val="left" w:pos="426"/>
        </w:tabs>
        <w:ind w:leftChars="0"/>
        <w:jc w:val="both"/>
        <w:rPr>
          <w:rFonts w:ascii="Arial" w:hAnsi="Arial" w:eastAsia="Arial" w:cs="Arial"/>
          <w:lang w:eastAsia="en-US"/>
        </w:rPr>
      </w:pPr>
      <w:r>
        <w:rPr>
          <w:rFonts w:ascii="Arial" w:hAnsi="Arial" w:eastAsia="Arial" w:cs="Arial"/>
          <w:lang w:eastAsia="en-US"/>
        </w:rPr>
        <w:t>13.2. A Contratação será atendida pela seguinte dotação:</w:t>
      </w:r>
    </w:p>
    <w:tbl>
      <w:tblPr>
        <w:tblStyle w:val="6"/>
        <w:tblW w:w="9442" w:type="dxa"/>
        <w:tblInd w:w="111" w:type="dxa"/>
        <w:tblLayout w:type="fixed"/>
        <w:tblCellMar>
          <w:top w:w="55" w:type="dxa"/>
          <w:left w:w="55" w:type="dxa"/>
          <w:bottom w:w="55" w:type="dxa"/>
          <w:right w:w="55" w:type="dxa"/>
        </w:tblCellMar>
      </w:tblPr>
      <w:tblGrid>
        <w:gridCol w:w="4763"/>
        <w:gridCol w:w="4679"/>
      </w:tblGrid>
      <w:tr w14:paraId="4EF530D0">
        <w:tblPrEx>
          <w:tblCellMar>
            <w:top w:w="55" w:type="dxa"/>
            <w:left w:w="55" w:type="dxa"/>
            <w:bottom w:w="55" w:type="dxa"/>
            <w:right w:w="55" w:type="dxa"/>
          </w:tblCellMar>
        </w:tblPrEx>
        <w:tc>
          <w:tcPr>
            <w:tcW w:w="4763" w:type="dxa"/>
            <w:tcBorders>
              <w:top w:val="single" w:color="000000" w:sz="2" w:space="0"/>
              <w:left w:val="single" w:color="000000" w:sz="2" w:space="0"/>
              <w:bottom w:val="single" w:color="000000" w:sz="2" w:space="0"/>
            </w:tcBorders>
          </w:tcPr>
          <w:p w14:paraId="47C2F4A2">
            <w:pPr>
              <w:pStyle w:val="19"/>
              <w:numPr>
                <w:ilvl w:val="0"/>
                <w:numId w:val="0"/>
              </w:numPr>
              <w:tabs>
                <w:tab w:val="left" w:pos="426"/>
              </w:tabs>
              <w:ind w:leftChars="0"/>
              <w:jc w:val="both"/>
              <w:rPr>
                <w:rFonts w:ascii="Arial" w:hAnsi="Arial" w:eastAsia="Arial" w:cs="Arial"/>
                <w:b/>
                <w:bCs/>
              </w:rPr>
            </w:pPr>
            <w:r>
              <w:rPr>
                <w:rFonts w:ascii="Arial" w:hAnsi="Arial" w:eastAsia="Arial" w:cs="Arial"/>
                <w:b/>
                <w:bCs/>
                <w:lang w:eastAsia="en-US"/>
              </w:rPr>
              <w:t>GESTÃO / UNIDADE</w:t>
            </w:r>
          </w:p>
        </w:tc>
        <w:tc>
          <w:tcPr>
            <w:tcW w:w="4679" w:type="dxa"/>
            <w:tcBorders>
              <w:top w:val="single" w:color="000000" w:sz="2" w:space="0"/>
              <w:left w:val="single" w:color="000000" w:sz="2" w:space="0"/>
              <w:bottom w:val="single" w:color="000000" w:sz="2" w:space="0"/>
              <w:right w:val="single" w:color="000000" w:sz="2" w:space="0"/>
            </w:tcBorders>
          </w:tcPr>
          <w:p w14:paraId="1D2FD46E">
            <w:pPr>
              <w:pStyle w:val="19"/>
              <w:numPr>
                <w:ilvl w:val="0"/>
                <w:numId w:val="0"/>
              </w:numPr>
              <w:tabs>
                <w:tab w:val="left" w:pos="426"/>
              </w:tabs>
              <w:ind w:leftChars="0"/>
              <w:jc w:val="both"/>
              <w:rPr>
                <w:rFonts w:ascii="Arial" w:hAnsi="Arial" w:eastAsia="Arial" w:cs="Arial"/>
              </w:rPr>
            </w:pPr>
            <w:r>
              <w:rPr>
                <w:rFonts w:ascii="Arial" w:hAnsi="Arial" w:eastAsia="Arial" w:cs="Arial"/>
              </w:rPr>
              <w:t>Secretaria de Infraestrutura e Obras</w:t>
            </w:r>
          </w:p>
        </w:tc>
      </w:tr>
      <w:tr w14:paraId="2307C5B1">
        <w:tblPrEx>
          <w:tblCellMar>
            <w:top w:w="55" w:type="dxa"/>
            <w:left w:w="55" w:type="dxa"/>
            <w:bottom w:w="55" w:type="dxa"/>
            <w:right w:w="55" w:type="dxa"/>
          </w:tblCellMar>
        </w:tblPrEx>
        <w:tc>
          <w:tcPr>
            <w:tcW w:w="4763" w:type="dxa"/>
            <w:tcBorders>
              <w:left w:val="single" w:color="000000" w:sz="2" w:space="0"/>
              <w:bottom w:val="single" w:color="000000" w:sz="2" w:space="0"/>
            </w:tcBorders>
          </w:tcPr>
          <w:p w14:paraId="2F5E85E3">
            <w:pPr>
              <w:pStyle w:val="19"/>
              <w:numPr>
                <w:ilvl w:val="0"/>
                <w:numId w:val="0"/>
              </w:numPr>
              <w:tabs>
                <w:tab w:val="left" w:pos="426"/>
              </w:tabs>
              <w:ind w:leftChars="0"/>
              <w:jc w:val="both"/>
              <w:rPr>
                <w:rFonts w:ascii="Arial" w:hAnsi="Arial" w:eastAsia="Arial" w:cs="Arial"/>
                <w:b/>
                <w:bCs/>
              </w:rPr>
            </w:pPr>
            <w:r>
              <w:rPr>
                <w:rFonts w:ascii="Arial" w:hAnsi="Arial" w:eastAsia="Arial" w:cs="Arial"/>
                <w:b/>
                <w:bCs/>
                <w:lang w:eastAsia="en-US"/>
              </w:rPr>
              <w:t>FONTE DE RECURSOS</w:t>
            </w:r>
          </w:p>
        </w:tc>
        <w:tc>
          <w:tcPr>
            <w:tcW w:w="4679" w:type="dxa"/>
            <w:tcBorders>
              <w:left w:val="single" w:color="000000" w:sz="2" w:space="0"/>
              <w:bottom w:val="single" w:color="000000" w:sz="2" w:space="0"/>
              <w:right w:val="single" w:color="000000" w:sz="2" w:space="0"/>
            </w:tcBorders>
          </w:tcPr>
          <w:p w14:paraId="584325A3">
            <w:pPr>
              <w:pStyle w:val="19"/>
              <w:numPr>
                <w:ilvl w:val="0"/>
                <w:numId w:val="0"/>
              </w:numPr>
              <w:tabs>
                <w:tab w:val="left" w:pos="426"/>
              </w:tabs>
              <w:ind w:leftChars="0"/>
              <w:jc w:val="both"/>
              <w:rPr>
                <w:rFonts w:ascii="Arial" w:hAnsi="Arial" w:eastAsia="Arial" w:cs="Arial"/>
              </w:rPr>
            </w:pPr>
            <w:r>
              <w:rPr>
                <w:rFonts w:ascii="Arial" w:hAnsi="Arial" w:eastAsia="Arial" w:cs="Arial"/>
              </w:rPr>
              <w:t xml:space="preserve">170500000020 </w:t>
            </w:r>
          </w:p>
        </w:tc>
      </w:tr>
      <w:tr w14:paraId="40E9C8DA">
        <w:tblPrEx>
          <w:tblCellMar>
            <w:top w:w="55" w:type="dxa"/>
            <w:left w:w="55" w:type="dxa"/>
            <w:bottom w:w="55" w:type="dxa"/>
            <w:right w:w="55" w:type="dxa"/>
          </w:tblCellMar>
        </w:tblPrEx>
        <w:tc>
          <w:tcPr>
            <w:tcW w:w="4763" w:type="dxa"/>
            <w:tcBorders>
              <w:left w:val="single" w:color="000000" w:sz="2" w:space="0"/>
              <w:bottom w:val="single" w:color="000000" w:sz="2" w:space="0"/>
            </w:tcBorders>
          </w:tcPr>
          <w:p w14:paraId="7C37EB38">
            <w:pPr>
              <w:pStyle w:val="19"/>
              <w:numPr>
                <w:ilvl w:val="0"/>
                <w:numId w:val="0"/>
              </w:numPr>
              <w:tabs>
                <w:tab w:val="left" w:pos="426"/>
              </w:tabs>
              <w:ind w:leftChars="0"/>
              <w:jc w:val="both"/>
              <w:rPr>
                <w:rFonts w:ascii="Arial" w:hAnsi="Arial" w:eastAsia="Arial" w:cs="Arial"/>
                <w:b/>
                <w:bCs/>
              </w:rPr>
            </w:pPr>
            <w:r>
              <w:rPr>
                <w:rFonts w:ascii="Arial" w:hAnsi="Arial" w:eastAsia="Arial" w:cs="Arial"/>
                <w:b/>
                <w:bCs/>
                <w:lang w:eastAsia="en-US"/>
              </w:rPr>
              <w:t>PROGRAMA DE TRABALHO</w:t>
            </w:r>
          </w:p>
        </w:tc>
        <w:tc>
          <w:tcPr>
            <w:tcW w:w="4679" w:type="dxa"/>
            <w:tcBorders>
              <w:left w:val="single" w:color="000000" w:sz="2" w:space="0"/>
              <w:bottom w:val="single" w:color="000000" w:sz="2" w:space="0"/>
              <w:right w:val="single" w:color="000000" w:sz="2" w:space="0"/>
            </w:tcBorders>
          </w:tcPr>
          <w:p w14:paraId="3712C5C8">
            <w:pPr>
              <w:pStyle w:val="19"/>
              <w:numPr>
                <w:ilvl w:val="0"/>
                <w:numId w:val="0"/>
              </w:numPr>
              <w:tabs>
                <w:tab w:val="left" w:pos="426"/>
              </w:tabs>
              <w:ind w:leftChars="0"/>
              <w:jc w:val="both"/>
              <w:rPr>
                <w:rFonts w:ascii="Arial" w:hAnsi="Arial" w:eastAsia="Arial" w:cs="Arial"/>
              </w:rPr>
            </w:pPr>
            <w:r>
              <w:rPr>
                <w:rFonts w:ascii="Arial" w:hAnsi="Arial" w:eastAsia="Arial" w:cs="Arial"/>
              </w:rPr>
              <w:t>Lote 1 - 16 004 15 452 0018 2.100</w:t>
            </w:r>
          </w:p>
          <w:p w14:paraId="0847ADF8">
            <w:pPr>
              <w:pStyle w:val="19"/>
              <w:numPr>
                <w:ilvl w:val="0"/>
                <w:numId w:val="0"/>
              </w:numPr>
              <w:tabs>
                <w:tab w:val="left" w:pos="426"/>
              </w:tabs>
              <w:ind w:leftChars="0"/>
              <w:jc w:val="both"/>
              <w:rPr>
                <w:rFonts w:ascii="Arial" w:hAnsi="Arial" w:eastAsia="Arial" w:cs="Arial"/>
              </w:rPr>
            </w:pPr>
            <w:r>
              <w:rPr>
                <w:rFonts w:ascii="Arial" w:hAnsi="Arial" w:eastAsia="Arial" w:cs="Arial"/>
              </w:rPr>
              <w:t>Lote 2 - 16 001 04 122 0001 2.002</w:t>
            </w:r>
          </w:p>
        </w:tc>
      </w:tr>
      <w:tr w14:paraId="28724DEE">
        <w:tblPrEx>
          <w:tblCellMar>
            <w:top w:w="55" w:type="dxa"/>
            <w:left w:w="55" w:type="dxa"/>
            <w:bottom w:w="55" w:type="dxa"/>
            <w:right w:w="55" w:type="dxa"/>
          </w:tblCellMar>
        </w:tblPrEx>
        <w:tc>
          <w:tcPr>
            <w:tcW w:w="4763" w:type="dxa"/>
            <w:tcBorders>
              <w:left w:val="single" w:color="000000" w:sz="2" w:space="0"/>
              <w:bottom w:val="single" w:color="000000" w:sz="2" w:space="0"/>
            </w:tcBorders>
          </w:tcPr>
          <w:p w14:paraId="63CB3127">
            <w:pPr>
              <w:pStyle w:val="19"/>
              <w:numPr>
                <w:ilvl w:val="0"/>
                <w:numId w:val="0"/>
              </w:numPr>
              <w:tabs>
                <w:tab w:val="left" w:pos="426"/>
              </w:tabs>
              <w:ind w:leftChars="0"/>
              <w:jc w:val="both"/>
              <w:rPr>
                <w:rFonts w:ascii="Arial" w:hAnsi="Arial" w:eastAsia="Arial" w:cs="Arial"/>
                <w:b/>
                <w:bCs/>
              </w:rPr>
            </w:pPr>
            <w:r>
              <w:rPr>
                <w:rFonts w:ascii="Arial" w:hAnsi="Arial" w:eastAsia="Arial" w:cs="Arial"/>
                <w:b/>
                <w:bCs/>
                <w:lang w:eastAsia="en-US"/>
              </w:rPr>
              <w:t>ELEMENTO DE DESPESA</w:t>
            </w:r>
          </w:p>
        </w:tc>
        <w:tc>
          <w:tcPr>
            <w:tcW w:w="4679" w:type="dxa"/>
            <w:tcBorders>
              <w:left w:val="single" w:color="000000" w:sz="2" w:space="0"/>
              <w:bottom w:val="single" w:color="000000" w:sz="2" w:space="0"/>
              <w:right w:val="single" w:color="000000" w:sz="2" w:space="0"/>
            </w:tcBorders>
          </w:tcPr>
          <w:p w14:paraId="05299CD5">
            <w:pPr>
              <w:pStyle w:val="19"/>
              <w:numPr>
                <w:ilvl w:val="0"/>
                <w:numId w:val="0"/>
              </w:numPr>
              <w:tabs>
                <w:tab w:val="left" w:pos="426"/>
              </w:tabs>
              <w:ind w:leftChars="0"/>
              <w:jc w:val="both"/>
              <w:rPr>
                <w:rFonts w:ascii="Arial" w:hAnsi="Arial" w:eastAsia="Arial" w:cs="Arial"/>
              </w:rPr>
            </w:pPr>
            <w:r>
              <w:rPr>
                <w:rFonts w:ascii="Arial" w:hAnsi="Arial" w:eastAsia="Arial" w:cs="Arial"/>
              </w:rPr>
              <w:t>339039-40</w:t>
            </w:r>
          </w:p>
        </w:tc>
      </w:tr>
    </w:tbl>
    <w:p w14:paraId="4280F757">
      <w:pPr>
        <w:pStyle w:val="19"/>
        <w:numPr>
          <w:ilvl w:val="0"/>
          <w:numId w:val="0"/>
        </w:numPr>
        <w:tabs>
          <w:tab w:val="left" w:pos="426"/>
        </w:tabs>
        <w:ind w:leftChars="0"/>
        <w:jc w:val="both"/>
        <w:rPr>
          <w:rFonts w:ascii="Arial" w:hAnsi="Arial" w:eastAsia="Arial" w:cs="Arial"/>
        </w:rPr>
      </w:pPr>
      <w:r>
        <w:rPr>
          <w:rFonts w:ascii="Arial" w:hAnsi="Arial" w:eastAsia="Arial" w:cs="Arial"/>
          <w:lang w:eastAsia="en-US"/>
        </w:rPr>
        <w:t>13.3. A dotação relativa aos exercícios financeiros subsequentes será indicada após aprovação da Lei Orçamentária respectiva e liberação dos créditos correspondentes, mediante apostilamento.</w:t>
      </w:r>
    </w:p>
    <w:p w14:paraId="026406A0">
      <w:pPr>
        <w:pStyle w:val="19"/>
        <w:numPr>
          <w:ilvl w:val="0"/>
          <w:numId w:val="0"/>
        </w:numPr>
        <w:tabs>
          <w:tab w:val="left" w:pos="426"/>
        </w:tabs>
        <w:ind w:leftChars="0"/>
        <w:jc w:val="both"/>
        <w:rPr>
          <w:rFonts w:ascii="Arial" w:hAnsi="Arial" w:eastAsia="Arial" w:cs="Arial"/>
          <w:lang w:eastAsia="en-US"/>
        </w:rPr>
      </w:pPr>
      <w:r>
        <w:rPr>
          <w:rFonts w:ascii="Arial" w:hAnsi="Arial" w:eastAsia="Arial" w:cs="Arial"/>
          <w:lang w:eastAsia="en-US"/>
        </w:rPr>
        <w:t>13.4. O orçamento deve estar conformado com o Plano Anual de Contratações, objetivando-se, sobretudo, a sustentabilidade financeira do Município.</w:t>
      </w:r>
    </w:p>
    <w:p w14:paraId="525ECCEA">
      <w:pPr>
        <w:spacing w:line="360" w:lineRule="auto"/>
        <w:jc w:val="both"/>
        <w:rPr>
          <w:rFonts w:ascii="Arial" w:hAnsi="Arial" w:cs="Arial"/>
          <w:sz w:val="22"/>
          <w:szCs w:val="22"/>
        </w:rPr>
      </w:pPr>
    </w:p>
    <w:p w14:paraId="120C7BB4">
      <w:pPr>
        <w:pStyle w:val="34"/>
        <w:numPr>
          <w:ilvl w:val="0"/>
          <w:numId w:val="3"/>
        </w:numPr>
        <w:tabs>
          <w:tab w:val="left" w:pos="284"/>
          <w:tab w:val="left" w:pos="993"/>
        </w:tabs>
        <w:spacing w:line="276" w:lineRule="auto"/>
        <w:ind w:left="0" w:firstLine="0"/>
        <w:rPr>
          <w:rFonts w:ascii="Arial" w:hAnsi="Arial" w:cs="Arial"/>
          <w:color w:val="FFFFFF" w:themeColor="background1"/>
          <w14:textFill>
            <w14:solidFill>
              <w14:schemeClr w14:val="bg1"/>
            </w14:solidFill>
          </w14:textFill>
        </w:rPr>
      </w:pPr>
      <w:r>
        <w:rPr>
          <w:rFonts w:ascii="Arial" w:hAnsi="Arial" w:cs="Arial"/>
          <w:sz w:val="22"/>
          <w:szCs w:val="22"/>
        </w:rPr>
        <w:t xml:space="preserve"> CLÁUSULA DÉCIMA QU</w:t>
      </w:r>
      <w:r>
        <w:rPr>
          <w:rFonts w:hint="default" w:ascii="Arial" w:hAnsi="Arial" w:cs="Arial"/>
          <w:sz w:val="22"/>
          <w:szCs w:val="22"/>
          <w:lang w:val="pt-BR"/>
        </w:rPr>
        <w:t>ARTA</w:t>
      </w:r>
      <w:r>
        <w:rPr>
          <w:rFonts w:ascii="Arial" w:hAnsi="Arial" w:cs="Arial"/>
          <w:sz w:val="22"/>
          <w:szCs w:val="22"/>
        </w:rPr>
        <w:t xml:space="preserve"> – ALTERAÇÕES</w:t>
      </w:r>
    </w:p>
    <w:p w14:paraId="03F2739F">
      <w:pPr>
        <w:pStyle w:val="19"/>
        <w:numPr>
          <w:ilvl w:val="1"/>
          <w:numId w:val="3"/>
        </w:numPr>
        <w:tabs>
          <w:tab w:val="left" w:pos="426"/>
        </w:tabs>
        <w:ind w:left="0" w:firstLine="0"/>
        <w:jc w:val="both"/>
        <w:rPr>
          <w:color w:val="000000"/>
        </w:rPr>
      </w:pPr>
      <w:r>
        <w:rPr>
          <w:rFonts w:ascii="Arial" w:hAnsi="Arial" w:eastAsia="Arial" w:cs="Arial"/>
        </w:rPr>
        <w:t>Eventuais alterações contratuais reger-se-ão pela disciplina dos</w:t>
      </w:r>
      <w:r>
        <w:t xml:space="preserve"> </w:t>
      </w:r>
      <w:r>
        <w:fldChar w:fldCharType="begin"/>
      </w:r>
      <w:r>
        <w:instrText xml:space="preserve"> HYPERLINK "http://www.planalto.gov.br/ccivil_03/_ato2019-2022/2021/lei/L14133.htm" \l "art124" </w:instrText>
      </w:r>
      <w:r>
        <w:fldChar w:fldCharType="separate"/>
      </w:r>
      <w:r>
        <w:rPr>
          <w:rStyle w:val="9"/>
        </w:rPr>
        <w:t>arts. 124 e seguintes da Lei nº 14.133, de 2021</w:t>
      </w:r>
      <w:r>
        <w:rPr>
          <w:rStyle w:val="9"/>
        </w:rPr>
        <w:fldChar w:fldCharType="end"/>
      </w:r>
      <w:r>
        <w:t>.</w:t>
      </w:r>
    </w:p>
    <w:p w14:paraId="074A5C54">
      <w:pPr>
        <w:pStyle w:val="19"/>
        <w:numPr>
          <w:ilvl w:val="1"/>
          <w:numId w:val="3"/>
        </w:numPr>
        <w:tabs>
          <w:tab w:val="left" w:pos="426"/>
        </w:tabs>
        <w:ind w:left="0" w:firstLine="0"/>
        <w:jc w:val="both"/>
        <w:rPr>
          <w:rFonts w:ascii="Arial" w:hAnsi="Arial" w:eastAsia="Arial" w:cs="Arial"/>
        </w:rPr>
      </w:pPr>
      <w:r>
        <w:rPr>
          <w:rFonts w:ascii="Arial" w:hAnsi="Arial" w:eastAsia="Arial" w:cs="Arial"/>
        </w:rPr>
        <w:t>O contratado é obrigado a aceitar, nas mesmas condições contratuais, os acréscimos ou supressões que se fizerem necessários, até o limite de 25% (vinte e cinco por cento) do valor inicial atualizado do contrato.</w:t>
      </w:r>
    </w:p>
    <w:p w14:paraId="4AC4B385">
      <w:pPr>
        <w:pStyle w:val="19"/>
        <w:numPr>
          <w:ilvl w:val="1"/>
          <w:numId w:val="3"/>
        </w:numPr>
        <w:tabs>
          <w:tab w:val="left" w:pos="426"/>
        </w:tabs>
        <w:ind w:left="0" w:firstLine="0"/>
        <w:jc w:val="both"/>
        <w:rPr>
          <w:rFonts w:ascii="Arial" w:hAnsi="Arial" w:eastAsia="Arial" w:cs="Arial"/>
        </w:rPr>
      </w:pPr>
      <w:r>
        <w:rPr>
          <w:rFonts w:ascii="Arial" w:hAnsi="Arial" w:eastAsia="Arial" w:cs="Arial"/>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7727C736">
      <w:pPr>
        <w:pStyle w:val="19"/>
        <w:numPr>
          <w:ilvl w:val="1"/>
          <w:numId w:val="3"/>
        </w:numPr>
        <w:tabs>
          <w:tab w:val="left" w:pos="426"/>
        </w:tabs>
        <w:ind w:left="0" w:firstLine="0"/>
        <w:jc w:val="both"/>
      </w:pPr>
      <w:r>
        <w:rPr>
          <w:rFonts w:ascii="Arial" w:hAnsi="Arial" w:eastAsia="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Pr>
        <w:t>art. 136 da Lei nº 14.133, de 2021</w:t>
      </w:r>
      <w:r>
        <w:rPr>
          <w:rStyle w:val="9"/>
        </w:rPr>
        <w:fldChar w:fldCharType="end"/>
      </w:r>
      <w:r>
        <w:t>.</w:t>
      </w:r>
    </w:p>
    <w:p w14:paraId="59A5E521">
      <w:pPr>
        <w:pStyle w:val="19"/>
        <w:widowControl/>
        <w:tabs>
          <w:tab w:val="left" w:pos="426"/>
        </w:tabs>
        <w:autoSpaceDE/>
        <w:autoSpaceDN/>
        <w:spacing w:before="120" w:after="120" w:line="276" w:lineRule="auto"/>
        <w:ind w:left="0"/>
        <w:jc w:val="both"/>
      </w:pPr>
      <w:r>
        <w:rPr>
          <w:rFonts w:ascii="Arial" w:hAnsi="Arial" w:cs="Arial"/>
        </w:rPr>
        <w:t xml:space="preserve"> </w:t>
      </w:r>
    </w:p>
    <w:p w14:paraId="0217FC09">
      <w:pPr>
        <w:pStyle w:val="44"/>
        <w:numPr>
          <w:ilvl w:val="0"/>
          <w:numId w:val="3"/>
        </w:numPr>
        <w:rPr>
          <w:color w:val="FFFFFF" w:themeColor="background1"/>
          <w:sz w:val="22"/>
          <w:szCs w:val="22"/>
          <w14:textFill>
            <w14:solidFill>
              <w14:schemeClr w14:val="bg1"/>
            </w14:solidFill>
          </w14:textFill>
        </w:rPr>
      </w:pPr>
      <w:r>
        <w:rPr>
          <w:sz w:val="22"/>
          <w:szCs w:val="22"/>
        </w:rPr>
        <w:t xml:space="preserve">CLÁUSULA DÉCIMA </w:t>
      </w:r>
      <w:r>
        <w:rPr>
          <w:rFonts w:hint="default"/>
          <w:sz w:val="22"/>
          <w:szCs w:val="22"/>
          <w:lang w:val="pt-BR"/>
        </w:rPr>
        <w:t>QUINTA</w:t>
      </w:r>
      <w:r>
        <w:rPr>
          <w:sz w:val="22"/>
          <w:szCs w:val="22"/>
        </w:rPr>
        <w:t xml:space="preserve"> – PUBLICAÇÃO</w:t>
      </w:r>
    </w:p>
    <w:p w14:paraId="6D2C9166">
      <w:pPr>
        <w:pStyle w:val="19"/>
        <w:numPr>
          <w:ilvl w:val="1"/>
          <w:numId w:val="3"/>
        </w:numPr>
        <w:tabs>
          <w:tab w:val="left" w:pos="426"/>
        </w:tabs>
        <w:ind w:left="0" w:firstLine="0"/>
        <w:jc w:val="both"/>
      </w:pPr>
      <w:r>
        <w:rPr>
          <w:rFonts w:ascii="Arial" w:hAnsi="Arial" w:eastAsia="Arial" w:cs="Arial"/>
        </w:rPr>
        <w:t>Incumbirá ao contratante divulgar o presente instrumento no Portal Nacional de Contratações Públicas (PNCP), na forma prevista no</w:t>
      </w:r>
      <w:r>
        <w:t xml:space="preserve"> </w:t>
      </w:r>
      <w:r>
        <w:fldChar w:fldCharType="begin"/>
      </w:r>
      <w:r>
        <w:instrText xml:space="preserve"> HYPERLINK "http://www.planalto.gov.br/ccivil_03/_ato2019-2022/2021/lei/L14133.htm" \l "art94" </w:instrText>
      </w:r>
      <w:r>
        <w:fldChar w:fldCharType="separate"/>
      </w:r>
      <w:r>
        <w:rPr>
          <w:rStyle w:val="9"/>
        </w:rPr>
        <w:t>art. 94 da Lei 14.133, de 2021</w:t>
      </w:r>
      <w:r>
        <w:rPr>
          <w:rStyle w:val="9"/>
        </w:rPr>
        <w:fldChar w:fldCharType="end"/>
      </w:r>
      <w:r>
        <w:rPr>
          <w:rFonts w:ascii="Arial" w:hAnsi="Arial" w:eastAsia="Arial" w:cs="Arial"/>
        </w:rPr>
        <w:t>, bem como no respectivo sítio oficial na Internet, em atenção ao art. 91, caput, da Lei n.º 14.133, de 2021, e ao</w:t>
      </w:r>
      <w:r>
        <w:t xml:space="preserve"> </w:t>
      </w:r>
      <w:r>
        <w:fldChar w:fldCharType="begin"/>
      </w:r>
      <w:r>
        <w:instrText xml:space="preserve"> HYPERLINK "https://www.planalto.gov.br/ccivil_03/_ato2011-2014/2011/lei/l12527.htm" \l "art8§2" </w:instrText>
      </w:r>
      <w:r>
        <w:fldChar w:fldCharType="separate"/>
      </w:r>
      <w:r>
        <w:rPr>
          <w:rStyle w:val="9"/>
        </w:rPr>
        <w:t>art. 8º, §2º, da Lei n. 12.527, de 2011</w:t>
      </w:r>
      <w:r>
        <w:rPr>
          <w:rStyle w:val="9"/>
        </w:rPr>
        <w:fldChar w:fldCharType="end"/>
      </w:r>
      <w:r>
        <w:t xml:space="preserve">, c/c </w:t>
      </w:r>
      <w:r>
        <w:fldChar w:fldCharType="begin"/>
      </w:r>
      <w:r>
        <w:instrText xml:space="preserve"> HYPERLINK "https://www.planalto.gov.br/ccivil_03/_ato2011-2014/2012/decreto/d7724.htm" \l "art7§3" </w:instrText>
      </w:r>
      <w:r>
        <w:fldChar w:fldCharType="separate"/>
      </w:r>
      <w:r>
        <w:rPr>
          <w:rStyle w:val="9"/>
        </w:rPr>
        <w:t>art. 7º, §3º, inciso V, do Decreto n. 7.724, de 2012</w:t>
      </w:r>
      <w:r>
        <w:rPr>
          <w:rStyle w:val="9"/>
        </w:rPr>
        <w:fldChar w:fldCharType="end"/>
      </w:r>
      <w:r>
        <w:t>.</w:t>
      </w:r>
    </w:p>
    <w:p w14:paraId="1F0CFBF3">
      <w:pPr>
        <w:pStyle w:val="19"/>
        <w:tabs>
          <w:tab w:val="left" w:pos="426"/>
        </w:tabs>
        <w:ind w:left="0"/>
        <w:jc w:val="both"/>
      </w:pPr>
    </w:p>
    <w:p w14:paraId="431F5E12">
      <w:pPr>
        <w:pStyle w:val="44"/>
        <w:numPr>
          <w:ilvl w:val="0"/>
          <w:numId w:val="3"/>
        </w:numPr>
        <w:rPr>
          <w:sz w:val="22"/>
          <w:szCs w:val="22"/>
        </w:rPr>
      </w:pPr>
      <w:r>
        <w:rPr>
          <w:sz w:val="22"/>
          <w:szCs w:val="22"/>
        </w:rPr>
        <w:t xml:space="preserve">- CLÁUSULA DÉCIMA </w:t>
      </w:r>
      <w:r>
        <w:rPr>
          <w:rFonts w:hint="default"/>
          <w:sz w:val="22"/>
          <w:szCs w:val="22"/>
          <w:lang w:val="pt-BR"/>
        </w:rPr>
        <w:t>SEXTA</w:t>
      </w:r>
      <w:r>
        <w:rPr>
          <w:sz w:val="22"/>
          <w:szCs w:val="22"/>
        </w:rPr>
        <w:t>–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14:paraId="7459C19E">
      <w:pPr>
        <w:pStyle w:val="19"/>
        <w:numPr>
          <w:ilvl w:val="1"/>
          <w:numId w:val="3"/>
        </w:numPr>
        <w:tabs>
          <w:tab w:val="left" w:pos="426"/>
        </w:tabs>
        <w:ind w:left="0" w:firstLine="0"/>
        <w:jc w:val="both"/>
        <w:rPr>
          <w:rFonts w:ascii="Arial" w:hAnsi="Arial" w:cs="Arial"/>
          <w:lang w:val="pt-BR"/>
        </w:rPr>
      </w:pPr>
      <w:r>
        <w:rPr>
          <w:rFonts w:ascii="Arial" w:hAnsi="Arial" w:cs="Arial"/>
        </w:rPr>
        <w:t xml:space="preserve">É </w:t>
      </w:r>
      <w:r>
        <w:t>eleito</w:t>
      </w:r>
      <w:r>
        <w:rPr>
          <w:rFonts w:ascii="Arial" w:hAnsi="Arial" w:cs="Arial"/>
        </w:rPr>
        <w:t xml:space="preserve">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14:paraId="389D31E9">
      <w:pPr>
        <w:pStyle w:val="19"/>
        <w:numPr>
          <w:ilvl w:val="1"/>
          <w:numId w:val="3"/>
        </w:numPr>
        <w:tabs>
          <w:tab w:val="left" w:pos="426"/>
        </w:tabs>
        <w:ind w:left="0" w:firstLine="0"/>
        <w:jc w:val="both"/>
        <w:rPr>
          <w:rFonts w:ascii="Arial" w:hAnsi="Arial" w:cs="Arial"/>
        </w:rPr>
      </w:pPr>
      <w:r>
        <w:rPr>
          <w:rFonts w:ascii="Arial" w:hAnsi="Arial" w:cs="Arial"/>
        </w:rPr>
        <w:t xml:space="preserve">Para firmeza e </w:t>
      </w:r>
      <w:r>
        <w:t>validade</w:t>
      </w:r>
      <w:r>
        <w:rPr>
          <w:rFonts w:ascii="Arial" w:hAnsi="Arial" w:cs="Arial"/>
        </w:rPr>
        <w:t xml:space="preserve"> do pactuado, o presente Termo de Contrato foi lavrado em 03 (três) vias de igual teor, que, depois de lido e achado em ordem, vai assinado pelos contraentes. </w:t>
      </w:r>
    </w:p>
    <w:p w14:paraId="25397428">
      <w:pPr>
        <w:pStyle w:val="19"/>
        <w:tabs>
          <w:tab w:val="left" w:pos="426"/>
        </w:tabs>
        <w:ind w:left="0"/>
        <w:jc w:val="both"/>
        <w:rPr>
          <w:rFonts w:ascii="Arial" w:hAnsi="Arial" w:cs="Arial"/>
        </w:rPr>
      </w:pPr>
    </w:p>
    <w:p w14:paraId="01908919">
      <w:pPr>
        <w:spacing w:after="120" w:line="360" w:lineRule="auto"/>
        <w:ind w:right="-15"/>
        <w:jc w:val="right"/>
        <w:rPr>
          <w:rFonts w:ascii="Arial" w:hAnsi="Arial" w:cs="Arial"/>
        </w:rPr>
      </w:pPr>
      <w:r>
        <w:rPr>
          <w:rFonts w:ascii="Arial" w:hAnsi="Arial" w:cs="Arial"/>
        </w:rPr>
        <w:t>...........................................,  .......... de.......................................... de 2026.</w:t>
      </w:r>
    </w:p>
    <w:p w14:paraId="2C095078">
      <w:pPr>
        <w:spacing w:after="120"/>
        <w:jc w:val="center"/>
        <w:rPr>
          <w:rFonts w:ascii="Arial" w:hAnsi="Arial" w:cs="Arial"/>
          <w:bCs/>
        </w:rPr>
      </w:pPr>
    </w:p>
    <w:p w14:paraId="0474FF7C">
      <w:pPr>
        <w:spacing w:after="120"/>
        <w:jc w:val="center"/>
        <w:rPr>
          <w:rFonts w:ascii="Arial" w:hAnsi="Arial" w:cs="Arial"/>
          <w:bCs/>
        </w:rPr>
      </w:pPr>
      <w:r>
        <w:rPr>
          <w:rFonts w:ascii="Arial" w:hAnsi="Arial" w:cs="Arial"/>
          <w:bCs/>
        </w:rPr>
        <w:t>_________________________</w:t>
      </w:r>
    </w:p>
    <w:p w14:paraId="1779E7D1">
      <w:pPr>
        <w:spacing w:after="120"/>
        <w:jc w:val="center"/>
        <w:rPr>
          <w:rFonts w:ascii="Arial" w:hAnsi="Arial" w:cs="Arial"/>
          <w:bCs/>
        </w:rPr>
      </w:pPr>
      <w:r>
        <w:rPr>
          <w:rFonts w:ascii="Arial" w:hAnsi="Arial" w:cs="Arial"/>
          <w:bCs/>
        </w:rPr>
        <w:t>Responsável legal da CONTRATANTE</w:t>
      </w:r>
    </w:p>
    <w:p w14:paraId="55DB71F9">
      <w:pPr>
        <w:spacing w:after="120"/>
        <w:jc w:val="center"/>
        <w:rPr>
          <w:rFonts w:ascii="Arial" w:hAnsi="Arial" w:cs="Arial"/>
        </w:rPr>
      </w:pPr>
    </w:p>
    <w:p w14:paraId="2F69D039">
      <w:pPr>
        <w:spacing w:after="120"/>
        <w:jc w:val="center"/>
        <w:rPr>
          <w:rFonts w:ascii="Arial" w:hAnsi="Arial" w:cs="Arial"/>
        </w:rPr>
      </w:pPr>
    </w:p>
    <w:p w14:paraId="4A20D25F">
      <w:pPr>
        <w:spacing w:after="120"/>
        <w:jc w:val="center"/>
        <w:rPr>
          <w:rFonts w:ascii="Arial" w:hAnsi="Arial" w:cs="Arial"/>
        </w:rPr>
      </w:pPr>
    </w:p>
    <w:p w14:paraId="3ABEFBC1">
      <w:pPr>
        <w:spacing w:after="120"/>
        <w:jc w:val="center"/>
        <w:rPr>
          <w:rFonts w:ascii="Arial" w:hAnsi="Arial" w:cs="Arial"/>
        </w:rPr>
      </w:pPr>
      <w:r>
        <w:rPr>
          <w:rFonts w:ascii="Arial" w:hAnsi="Arial" w:cs="Arial"/>
        </w:rPr>
        <w:t>_________________________</w:t>
      </w:r>
    </w:p>
    <w:p w14:paraId="4BCCED7F">
      <w:pPr>
        <w:spacing w:after="120"/>
        <w:jc w:val="center"/>
        <w:rPr>
          <w:rFonts w:ascii="Arial" w:hAnsi="Arial" w:cs="Arial"/>
        </w:rPr>
      </w:pPr>
      <w:r>
        <w:rPr>
          <w:rFonts w:ascii="Arial" w:hAnsi="Arial" w:cs="Arial"/>
        </w:rPr>
        <w:t>Responsável legal da CONTRATADA</w:t>
      </w:r>
    </w:p>
    <w:p w14:paraId="5D57D0AF">
      <w:pPr>
        <w:spacing w:after="120"/>
        <w:jc w:val="both"/>
        <w:rPr>
          <w:rFonts w:ascii="Arial" w:hAnsi="Arial" w:cs="Arial"/>
        </w:rPr>
      </w:pPr>
      <w:r>
        <w:rPr>
          <w:rFonts w:ascii="Arial" w:hAnsi="Arial" w:cs="Arial"/>
        </w:rPr>
        <w:t>TESTEMUNHAS:</w:t>
      </w:r>
    </w:p>
    <w:p w14:paraId="373B24F2">
      <w:pPr>
        <w:spacing w:after="120"/>
        <w:jc w:val="both"/>
        <w:rPr>
          <w:rFonts w:ascii="Arial" w:hAnsi="Arial" w:cs="Arial"/>
        </w:rPr>
      </w:pPr>
      <w:r>
        <w:rPr>
          <w:rFonts w:ascii="Arial" w:hAnsi="Arial" w:cs="Arial"/>
        </w:rPr>
        <w:t>1-</w:t>
      </w:r>
    </w:p>
    <w:p w14:paraId="532382A8">
      <w:pPr>
        <w:spacing w:after="120"/>
        <w:jc w:val="both"/>
        <w:rPr>
          <w:rFonts w:ascii="Arial" w:hAnsi="Arial" w:cs="Arial"/>
        </w:rPr>
      </w:pPr>
      <w:r>
        <w:rPr>
          <w:rFonts w:ascii="Arial" w:hAnsi="Arial" w:cs="Arial"/>
        </w:rPr>
        <w:t>2-</w:t>
      </w:r>
    </w:p>
    <w:sectPr>
      <w:headerReference r:id="rId5" w:type="first"/>
      <w:footerReference r:id="rId8" w:type="first"/>
      <w:headerReference r:id="rId3" w:type="default"/>
      <w:footerReference r:id="rId6" w:type="default"/>
      <w:headerReference r:id="rId4" w:type="even"/>
      <w:footerReference r:id="rId7" w:type="even"/>
      <w:pgSz w:w="11910" w:h="16840"/>
      <w:pgMar w:top="1037" w:right="1418" w:bottom="1418" w:left="1418" w:header="0"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C6C17">
    <w:pPr>
      <w:pStyle w:val="15"/>
      <w:jc w:val="center"/>
      <w:rPr>
        <w:rFonts w:ascii="Azo Sans Md" w:hAnsi="Azo Sans Md"/>
        <w:b/>
        <w:bCs/>
        <w:color w:val="000000"/>
        <w:sz w:val="18"/>
        <w:szCs w:val="18"/>
      </w:rPr>
    </w:pPr>
  </w:p>
  <w:p w14:paraId="435CF93D">
    <w:pPr>
      <w:pStyle w:val="15"/>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14:paraId="60D26642">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9"/>
        <w:rFonts w:ascii="Arial" w:hAnsi="Arial" w:cs="Arial"/>
        <w:sz w:val="18"/>
        <w:szCs w:val="18"/>
      </w:rPr>
      <w:t>pregaoeletronico.friburgo@gmail.com</w:t>
    </w:r>
    <w:r>
      <w:rPr>
        <w:rStyle w:val="9"/>
        <w:rFonts w:ascii="Arial" w:hAnsi="Arial" w:cs="Arial"/>
        <w:sz w:val="18"/>
        <w:szCs w:val="18"/>
      </w:rPr>
      <w:fldChar w:fldCharType="end"/>
    </w:r>
    <w:r>
      <w:rPr>
        <w:rFonts w:ascii="Arial" w:hAnsi="Arial" w:cs="Arial"/>
        <w:color w:val="000000"/>
        <w:sz w:val="18"/>
        <w:szCs w:val="18"/>
      </w:rPr>
      <w:t xml:space="preserve"> – Telefone: (22) 2525-9100  -</w:t>
    </w:r>
  </w:p>
  <w:p w14:paraId="140DF043">
    <w:pPr>
      <w:pStyle w:val="15"/>
      <w:jc w:val="center"/>
      <w:rPr>
        <w:rFonts w:ascii="Arial" w:hAnsi="Arial" w:cs="Arial"/>
        <w:color w:val="000000"/>
        <w:sz w:val="18"/>
        <w:szCs w:val="18"/>
      </w:rPr>
    </w:pPr>
    <w:r>
      <w:rPr>
        <w:rFonts w:ascii="Arial" w:hAnsi="Arial" w:cs="Arial"/>
        <w:color w:val="000000"/>
        <w:sz w:val="18"/>
        <w:szCs w:val="18"/>
      </w:rPr>
      <w:t>(22) 2525-9101</w:t>
    </w:r>
  </w:p>
  <w:p w14:paraId="51BD31BF">
    <w:pPr>
      <w:pStyle w:val="15"/>
      <w:jc w:val="center"/>
      <w:rPr>
        <w:rFonts w:ascii="Arial" w:hAnsi="Arial" w:cs="Arial"/>
        <w:color w:val="000000"/>
        <w:sz w:val="18"/>
        <w:szCs w:val="18"/>
      </w:rPr>
    </w:pPr>
  </w:p>
  <w:p w14:paraId="02A9EEA9">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D35F20">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211BE1">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8BB34">
    <w:pPr>
      <w:pStyle w:val="14"/>
      <w:ind w:left="142" w:hanging="426"/>
      <w:rPr>
        <w:rFonts w:ascii="Times New Roman" w:hAnsi="Times New Roman" w:eastAsia="Times New Roman" w:cs="Times New Roman"/>
        <w:sz w:val="28"/>
        <w:szCs w:val="20"/>
        <w:lang w:val="pt-BR" w:eastAsia="zh-CN"/>
      </w:rPr>
    </w:pPr>
  </w:p>
  <w:p w14:paraId="26225F3B">
    <w:pPr>
      <w:ind w:left="0" w:leftChars="-192" w:right="-17" w:hanging="422" w:hangingChars="192"/>
      <w:jc w:val="right"/>
      <w:rPr>
        <w:rFonts w:ascii="Arial" w:hAnsi="Arial" w:cs="Arial"/>
        <w:b/>
        <w:lang w:val="pt-BR"/>
      </w:rPr>
    </w:pPr>
    <w:r>
      <w:drawing>
        <wp:inline distT="0" distB="0" distL="114300" distR="114300">
          <wp:extent cx="6814820" cy="110426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pic:cNvPicPr>
                </pic:nvPicPr>
                <pic:blipFill>
                  <a:blip r:embed="rId1"/>
                  <a:stretch>
                    <a:fillRect/>
                  </a:stretch>
                </pic:blipFill>
                <pic:spPr>
                  <a:xfrm>
                    <a:off x="0" y="0"/>
                    <a:ext cx="6814820" cy="1104265"/>
                  </a:xfrm>
                  <a:prstGeom prst="rect">
                    <a:avLst/>
                  </a:prstGeom>
                  <a:noFill/>
                  <a:ln>
                    <a:noFill/>
                  </a:ln>
                </pic:spPr>
              </pic:pic>
            </a:graphicData>
          </a:graphic>
        </wp:inline>
      </w:drawing>
    </w:r>
    <w:r>
      <w:rPr>
        <w:rFonts w:ascii="Arial" w:hAnsi="Arial" w:cs="Arial"/>
        <w:b/>
        <w:lang w:val="pt-BR"/>
      </w:rPr>
      <w:t xml:space="preserve">TERMO DE CONTRATO ADMINISTRATIVO </w:t>
    </w:r>
    <w:r>
      <w:rPr>
        <w:rFonts w:ascii="Arial" w:hAnsi="Arial" w:cs="Arial"/>
        <w:b/>
        <w:color w:val="FF0000"/>
        <w:lang w:val="pt-BR"/>
      </w:rPr>
      <w:t>Nº XXXX/XXXX</w:t>
    </w:r>
  </w:p>
  <w:p w14:paraId="07320CD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AF6DD">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E5A6A">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E3289635"/>
    <w:multiLevelType w:val="singleLevel"/>
    <w:tmpl w:val="E3289635"/>
    <w:lvl w:ilvl="0" w:tentative="0">
      <w:start w:val="1"/>
      <w:numFmt w:val="lowerLetter"/>
      <w:suff w:val="space"/>
      <w:lvlText w:val="%1)"/>
      <w:lvlJc w:val="left"/>
    </w:lvl>
  </w:abstractNum>
  <w:abstractNum w:abstractNumId="2">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3">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4">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5">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6">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7">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5"/>
  </w:num>
  <w:num w:numId="2">
    <w:abstractNumId w:val="0"/>
  </w:num>
  <w:num w:numId="3">
    <w:abstractNumId w:val="4"/>
  </w:num>
  <w:num w:numId="4">
    <w:abstractNumId w:val="1"/>
  </w:num>
  <w:num w:numId="5">
    <w:abstractNumId w:val="7"/>
  </w:num>
  <w:num w:numId="6">
    <w:abstractNumId w:val="3"/>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329BF"/>
    <w:rsid w:val="00043FA7"/>
    <w:rsid w:val="00055A35"/>
    <w:rsid w:val="00060815"/>
    <w:rsid w:val="00064A3F"/>
    <w:rsid w:val="000659B7"/>
    <w:rsid w:val="0007531B"/>
    <w:rsid w:val="00085E40"/>
    <w:rsid w:val="00090A03"/>
    <w:rsid w:val="00090C31"/>
    <w:rsid w:val="00092735"/>
    <w:rsid w:val="00097D7B"/>
    <w:rsid w:val="000A1E64"/>
    <w:rsid w:val="000A3199"/>
    <w:rsid w:val="000B23ED"/>
    <w:rsid w:val="000C75B5"/>
    <w:rsid w:val="000D17CB"/>
    <w:rsid w:val="000D45F1"/>
    <w:rsid w:val="000D6176"/>
    <w:rsid w:val="000E4CF2"/>
    <w:rsid w:val="000E4D70"/>
    <w:rsid w:val="000E6000"/>
    <w:rsid w:val="000E684C"/>
    <w:rsid w:val="000E6DAE"/>
    <w:rsid w:val="000F0F17"/>
    <w:rsid w:val="000F2826"/>
    <w:rsid w:val="000F46E9"/>
    <w:rsid w:val="000F4D4D"/>
    <w:rsid w:val="00100FEB"/>
    <w:rsid w:val="0010179C"/>
    <w:rsid w:val="00102A53"/>
    <w:rsid w:val="001079D7"/>
    <w:rsid w:val="001149D8"/>
    <w:rsid w:val="001272CC"/>
    <w:rsid w:val="00130DCF"/>
    <w:rsid w:val="00134FCE"/>
    <w:rsid w:val="00135F0B"/>
    <w:rsid w:val="0014449B"/>
    <w:rsid w:val="00147B9F"/>
    <w:rsid w:val="0015173F"/>
    <w:rsid w:val="0015751B"/>
    <w:rsid w:val="00165D70"/>
    <w:rsid w:val="001767E4"/>
    <w:rsid w:val="00185DBF"/>
    <w:rsid w:val="00187C1B"/>
    <w:rsid w:val="00193060"/>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4522"/>
    <w:rsid w:val="002663BD"/>
    <w:rsid w:val="00266B10"/>
    <w:rsid w:val="00276B5D"/>
    <w:rsid w:val="0028199E"/>
    <w:rsid w:val="00284EA1"/>
    <w:rsid w:val="0028504B"/>
    <w:rsid w:val="00296174"/>
    <w:rsid w:val="002A4753"/>
    <w:rsid w:val="002A5731"/>
    <w:rsid w:val="002A7071"/>
    <w:rsid w:val="002B28F4"/>
    <w:rsid w:val="002B3DAB"/>
    <w:rsid w:val="002D6243"/>
    <w:rsid w:val="002E43FD"/>
    <w:rsid w:val="002E71FD"/>
    <w:rsid w:val="002F2CC8"/>
    <w:rsid w:val="002F585C"/>
    <w:rsid w:val="00315F43"/>
    <w:rsid w:val="00320761"/>
    <w:rsid w:val="0032285B"/>
    <w:rsid w:val="00323F3D"/>
    <w:rsid w:val="00326DB2"/>
    <w:rsid w:val="003370B0"/>
    <w:rsid w:val="003378B0"/>
    <w:rsid w:val="00342284"/>
    <w:rsid w:val="003444FD"/>
    <w:rsid w:val="00347799"/>
    <w:rsid w:val="0035743C"/>
    <w:rsid w:val="003578AC"/>
    <w:rsid w:val="0036128D"/>
    <w:rsid w:val="003649A2"/>
    <w:rsid w:val="00366D5F"/>
    <w:rsid w:val="00370B10"/>
    <w:rsid w:val="00380F2F"/>
    <w:rsid w:val="0038358C"/>
    <w:rsid w:val="00385663"/>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5976"/>
    <w:rsid w:val="00415C1A"/>
    <w:rsid w:val="00417717"/>
    <w:rsid w:val="00430C16"/>
    <w:rsid w:val="00436587"/>
    <w:rsid w:val="00442048"/>
    <w:rsid w:val="0044502E"/>
    <w:rsid w:val="004549BE"/>
    <w:rsid w:val="00461F93"/>
    <w:rsid w:val="00466044"/>
    <w:rsid w:val="00466BF6"/>
    <w:rsid w:val="004735E6"/>
    <w:rsid w:val="0047582C"/>
    <w:rsid w:val="00475936"/>
    <w:rsid w:val="0048007A"/>
    <w:rsid w:val="00490E4C"/>
    <w:rsid w:val="004959AC"/>
    <w:rsid w:val="004A09DC"/>
    <w:rsid w:val="004A1537"/>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73D04"/>
    <w:rsid w:val="00594591"/>
    <w:rsid w:val="005C402B"/>
    <w:rsid w:val="005D7CC0"/>
    <w:rsid w:val="005E2922"/>
    <w:rsid w:val="005E753D"/>
    <w:rsid w:val="005F5E8D"/>
    <w:rsid w:val="005F6177"/>
    <w:rsid w:val="00604469"/>
    <w:rsid w:val="00612436"/>
    <w:rsid w:val="006142F9"/>
    <w:rsid w:val="00617943"/>
    <w:rsid w:val="00617E05"/>
    <w:rsid w:val="00620E2E"/>
    <w:rsid w:val="00623F21"/>
    <w:rsid w:val="0062482D"/>
    <w:rsid w:val="006306EF"/>
    <w:rsid w:val="00633BD8"/>
    <w:rsid w:val="00637E49"/>
    <w:rsid w:val="00641674"/>
    <w:rsid w:val="00645026"/>
    <w:rsid w:val="00646682"/>
    <w:rsid w:val="006709DA"/>
    <w:rsid w:val="0067457F"/>
    <w:rsid w:val="0068504B"/>
    <w:rsid w:val="00691421"/>
    <w:rsid w:val="006A1B6A"/>
    <w:rsid w:val="006B62AB"/>
    <w:rsid w:val="006C7188"/>
    <w:rsid w:val="006D48A5"/>
    <w:rsid w:val="006D4909"/>
    <w:rsid w:val="006D6562"/>
    <w:rsid w:val="006E5958"/>
    <w:rsid w:val="006E635F"/>
    <w:rsid w:val="006F0ECE"/>
    <w:rsid w:val="007168B3"/>
    <w:rsid w:val="00722F56"/>
    <w:rsid w:val="007270C7"/>
    <w:rsid w:val="00735ADD"/>
    <w:rsid w:val="00741433"/>
    <w:rsid w:val="007476E1"/>
    <w:rsid w:val="0075018C"/>
    <w:rsid w:val="007506FB"/>
    <w:rsid w:val="0075652C"/>
    <w:rsid w:val="00763341"/>
    <w:rsid w:val="00773AA0"/>
    <w:rsid w:val="007767C7"/>
    <w:rsid w:val="00776D41"/>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1112"/>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242C"/>
    <w:rsid w:val="0089518A"/>
    <w:rsid w:val="008A046D"/>
    <w:rsid w:val="008A31DA"/>
    <w:rsid w:val="008A72D1"/>
    <w:rsid w:val="008B1D7C"/>
    <w:rsid w:val="008B5745"/>
    <w:rsid w:val="008B71AC"/>
    <w:rsid w:val="008C47CA"/>
    <w:rsid w:val="008C4D64"/>
    <w:rsid w:val="008C4FC6"/>
    <w:rsid w:val="008C6F60"/>
    <w:rsid w:val="008D3457"/>
    <w:rsid w:val="008D5F7A"/>
    <w:rsid w:val="008D78EA"/>
    <w:rsid w:val="008E1A25"/>
    <w:rsid w:val="008E4F62"/>
    <w:rsid w:val="008E5AD6"/>
    <w:rsid w:val="008E65D4"/>
    <w:rsid w:val="008E6D4F"/>
    <w:rsid w:val="0090165D"/>
    <w:rsid w:val="009039E8"/>
    <w:rsid w:val="009061B6"/>
    <w:rsid w:val="009063BB"/>
    <w:rsid w:val="009162EB"/>
    <w:rsid w:val="0092129B"/>
    <w:rsid w:val="009213D5"/>
    <w:rsid w:val="009327CB"/>
    <w:rsid w:val="009335AB"/>
    <w:rsid w:val="00941301"/>
    <w:rsid w:val="00941655"/>
    <w:rsid w:val="00944FFE"/>
    <w:rsid w:val="00954199"/>
    <w:rsid w:val="009553C6"/>
    <w:rsid w:val="00956E65"/>
    <w:rsid w:val="00971993"/>
    <w:rsid w:val="00974672"/>
    <w:rsid w:val="00974A4B"/>
    <w:rsid w:val="00975829"/>
    <w:rsid w:val="0097688D"/>
    <w:rsid w:val="0097702B"/>
    <w:rsid w:val="009872FB"/>
    <w:rsid w:val="009877CB"/>
    <w:rsid w:val="009A16F5"/>
    <w:rsid w:val="009B3712"/>
    <w:rsid w:val="009C02ED"/>
    <w:rsid w:val="009C3548"/>
    <w:rsid w:val="009D2CA1"/>
    <w:rsid w:val="009E2340"/>
    <w:rsid w:val="009F2F85"/>
    <w:rsid w:val="00A06D2F"/>
    <w:rsid w:val="00A07238"/>
    <w:rsid w:val="00A111BA"/>
    <w:rsid w:val="00A14FF7"/>
    <w:rsid w:val="00A229E2"/>
    <w:rsid w:val="00A23D36"/>
    <w:rsid w:val="00A27B94"/>
    <w:rsid w:val="00A327A0"/>
    <w:rsid w:val="00A74974"/>
    <w:rsid w:val="00A75B6C"/>
    <w:rsid w:val="00A87002"/>
    <w:rsid w:val="00A92914"/>
    <w:rsid w:val="00A94653"/>
    <w:rsid w:val="00A96E16"/>
    <w:rsid w:val="00AA12A7"/>
    <w:rsid w:val="00AA4EF9"/>
    <w:rsid w:val="00AC1427"/>
    <w:rsid w:val="00AC1FD2"/>
    <w:rsid w:val="00AC5178"/>
    <w:rsid w:val="00AC69AD"/>
    <w:rsid w:val="00AD022C"/>
    <w:rsid w:val="00AD7246"/>
    <w:rsid w:val="00AE2539"/>
    <w:rsid w:val="00AE7153"/>
    <w:rsid w:val="00AF4EE0"/>
    <w:rsid w:val="00AF5DD4"/>
    <w:rsid w:val="00AF6B88"/>
    <w:rsid w:val="00B0084D"/>
    <w:rsid w:val="00B02294"/>
    <w:rsid w:val="00B03288"/>
    <w:rsid w:val="00B061E6"/>
    <w:rsid w:val="00B12062"/>
    <w:rsid w:val="00B13DC2"/>
    <w:rsid w:val="00B17BE8"/>
    <w:rsid w:val="00B25D0B"/>
    <w:rsid w:val="00B26F60"/>
    <w:rsid w:val="00B27105"/>
    <w:rsid w:val="00B30CA0"/>
    <w:rsid w:val="00B35782"/>
    <w:rsid w:val="00B367AB"/>
    <w:rsid w:val="00B37399"/>
    <w:rsid w:val="00B375EA"/>
    <w:rsid w:val="00B42A6A"/>
    <w:rsid w:val="00B51D0D"/>
    <w:rsid w:val="00B52F88"/>
    <w:rsid w:val="00B676BB"/>
    <w:rsid w:val="00B721DC"/>
    <w:rsid w:val="00B92016"/>
    <w:rsid w:val="00B923BE"/>
    <w:rsid w:val="00B92721"/>
    <w:rsid w:val="00BA1327"/>
    <w:rsid w:val="00BA2AC6"/>
    <w:rsid w:val="00BA68EF"/>
    <w:rsid w:val="00BB0633"/>
    <w:rsid w:val="00BB0C6C"/>
    <w:rsid w:val="00BB36D3"/>
    <w:rsid w:val="00BB3B8F"/>
    <w:rsid w:val="00BB408F"/>
    <w:rsid w:val="00BB527C"/>
    <w:rsid w:val="00BB61D2"/>
    <w:rsid w:val="00BD4347"/>
    <w:rsid w:val="00BE3C4E"/>
    <w:rsid w:val="00BE3CE6"/>
    <w:rsid w:val="00BE40A2"/>
    <w:rsid w:val="00BE429A"/>
    <w:rsid w:val="00BE4E9F"/>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9769F"/>
    <w:rsid w:val="00CA5F9F"/>
    <w:rsid w:val="00CB5AC0"/>
    <w:rsid w:val="00CB6468"/>
    <w:rsid w:val="00CB7984"/>
    <w:rsid w:val="00CC0C99"/>
    <w:rsid w:val="00CC288A"/>
    <w:rsid w:val="00CC666F"/>
    <w:rsid w:val="00CE1CB6"/>
    <w:rsid w:val="00CF467B"/>
    <w:rsid w:val="00D06A05"/>
    <w:rsid w:val="00D22F45"/>
    <w:rsid w:val="00D2348E"/>
    <w:rsid w:val="00D249B9"/>
    <w:rsid w:val="00D2776D"/>
    <w:rsid w:val="00D27AFB"/>
    <w:rsid w:val="00D308FA"/>
    <w:rsid w:val="00D473D7"/>
    <w:rsid w:val="00D5096A"/>
    <w:rsid w:val="00D653DF"/>
    <w:rsid w:val="00D7231B"/>
    <w:rsid w:val="00D7299B"/>
    <w:rsid w:val="00D73E45"/>
    <w:rsid w:val="00D90EA5"/>
    <w:rsid w:val="00D9158F"/>
    <w:rsid w:val="00D97BF6"/>
    <w:rsid w:val="00DA0D02"/>
    <w:rsid w:val="00DA57AB"/>
    <w:rsid w:val="00DA7D88"/>
    <w:rsid w:val="00DB1B33"/>
    <w:rsid w:val="00DB4906"/>
    <w:rsid w:val="00DB6EA1"/>
    <w:rsid w:val="00DC58C6"/>
    <w:rsid w:val="00DC6CC7"/>
    <w:rsid w:val="00DC6FCA"/>
    <w:rsid w:val="00DD641A"/>
    <w:rsid w:val="00DE2273"/>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E72CE"/>
    <w:rsid w:val="00EF6AA9"/>
    <w:rsid w:val="00F232EF"/>
    <w:rsid w:val="00F30FF9"/>
    <w:rsid w:val="00F32C26"/>
    <w:rsid w:val="00F336C7"/>
    <w:rsid w:val="00F37352"/>
    <w:rsid w:val="00F40051"/>
    <w:rsid w:val="00F45FFC"/>
    <w:rsid w:val="00F46439"/>
    <w:rsid w:val="00F57615"/>
    <w:rsid w:val="00F829FD"/>
    <w:rsid w:val="00F847D5"/>
    <w:rsid w:val="00FA307E"/>
    <w:rsid w:val="00FA5861"/>
    <w:rsid w:val="00FB230B"/>
    <w:rsid w:val="00FB71A6"/>
    <w:rsid w:val="00FC22BB"/>
    <w:rsid w:val="00FD2171"/>
    <w:rsid w:val="00FD7FE7"/>
    <w:rsid w:val="00FE6985"/>
    <w:rsid w:val="00FF2E17"/>
    <w:rsid w:val="011A3670"/>
    <w:rsid w:val="025F267A"/>
    <w:rsid w:val="0D4E0FE4"/>
    <w:rsid w:val="0FEA00DA"/>
    <w:rsid w:val="11CC2ACE"/>
    <w:rsid w:val="168A18A3"/>
    <w:rsid w:val="16CF35F9"/>
    <w:rsid w:val="18071CA9"/>
    <w:rsid w:val="1A2C2248"/>
    <w:rsid w:val="1AF72D93"/>
    <w:rsid w:val="1D404128"/>
    <w:rsid w:val="1FD12E07"/>
    <w:rsid w:val="237F05D9"/>
    <w:rsid w:val="2506325D"/>
    <w:rsid w:val="267E03D4"/>
    <w:rsid w:val="292051C1"/>
    <w:rsid w:val="32136FB5"/>
    <w:rsid w:val="33797B81"/>
    <w:rsid w:val="3C463D4C"/>
    <w:rsid w:val="3C4D19A5"/>
    <w:rsid w:val="3C9967A2"/>
    <w:rsid w:val="3D361311"/>
    <w:rsid w:val="3EE01D9D"/>
    <w:rsid w:val="3EFE1167"/>
    <w:rsid w:val="3F8D7256"/>
    <w:rsid w:val="40B21AB2"/>
    <w:rsid w:val="47355704"/>
    <w:rsid w:val="47696CAF"/>
    <w:rsid w:val="47BB28BA"/>
    <w:rsid w:val="4E8B4276"/>
    <w:rsid w:val="4F1F635F"/>
    <w:rsid w:val="4FE913D3"/>
    <w:rsid w:val="501F24D5"/>
    <w:rsid w:val="552449FA"/>
    <w:rsid w:val="57256954"/>
    <w:rsid w:val="585070F0"/>
    <w:rsid w:val="59FF68AA"/>
    <w:rsid w:val="5C237373"/>
    <w:rsid w:val="5CE91D7D"/>
    <w:rsid w:val="5E471CBA"/>
    <w:rsid w:val="623C6820"/>
    <w:rsid w:val="6733753B"/>
    <w:rsid w:val="68220CE6"/>
    <w:rsid w:val="68532C20"/>
    <w:rsid w:val="69B550B0"/>
    <w:rsid w:val="69CF5D95"/>
    <w:rsid w:val="6BD15F74"/>
    <w:rsid w:val="6E406FF2"/>
    <w:rsid w:val="749B1192"/>
    <w:rsid w:val="77B2358A"/>
    <w:rsid w:val="7AC63CE3"/>
    <w:rsid w:val="7E41445E"/>
    <w:rsid w:val="7F32323D"/>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1"/>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qFormat/>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qFormat/>
    <w:uiPriority w:val="0"/>
    <w:rPr>
      <w:rFonts w:ascii="Arial" w:hAnsi="Arial" w:cs="Arial"/>
      <w:b/>
      <w:bCs/>
      <w:i/>
      <w:iCs/>
      <w:color w:val="FF0000"/>
      <w:sz w:val="24"/>
      <w:szCs w:val="24"/>
      <w:u w:val="single"/>
    </w:rPr>
  </w:style>
  <w:style w:type="character" w:customStyle="1" w:styleId="54">
    <w:name w:val="Nivel 2 Char"/>
    <w:basedOn w:val="5"/>
    <w:link w:val="45"/>
    <w:qFormat/>
    <w:locked/>
    <w:uiPriority w:val="0"/>
    <w:rPr>
      <w:rFonts w:ascii="Arial" w:hAnsi="Arial" w:cs="Arial" w:eastAsiaTheme="minorEastAsia"/>
      <w:color w:val="000000"/>
    </w:rPr>
  </w:style>
  <w:style w:type="character" w:customStyle="1" w:styleId="55">
    <w:name w:val="Parágrafo da Lista Char"/>
    <w:basedOn w:val="5"/>
    <w:link w:val="19"/>
    <w:qFormat/>
    <w:uiPriority w:val="34"/>
    <w:rPr>
      <w:rFonts w:ascii="Verdana" w:hAnsi="Verdana" w:eastAsia="Verdana" w:cs="Verdana"/>
      <w:sz w:val="22"/>
      <w:szCs w:val="22"/>
      <w:lang w:val="pt-PT" w:eastAsia="en-US"/>
    </w:rPr>
  </w:style>
  <w:style w:type="character" w:customStyle="1" w:styleId="56">
    <w:name w:val="Nivel 3 Char"/>
    <w:basedOn w:val="5"/>
    <w:link w:val="46"/>
    <w:qFormat/>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qFormat/>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qFormat/>
    <w:locked/>
    <w:uiPriority w:val="0"/>
    <w:rPr>
      <w:rFonts w:ascii="Arial" w:hAnsi="Arial" w:cs="Arial" w:eastAsiaTheme="minorEastAsia"/>
    </w:rPr>
  </w:style>
  <w:style w:type="paragraph" w:customStyle="1" w:styleId="61">
    <w:name w:val="Conteúdo da tabela"/>
    <w:basedOn w:val="1"/>
    <w:qFormat/>
    <w:uiPriority w:val="0"/>
    <w:pPr>
      <w:widowControl w:val="0"/>
      <w:suppressLineNumbers/>
    </w:pPr>
  </w:style>
  <w:style w:type="paragraph" w:customStyle="1" w:styleId="62">
    <w:name w:val="MENUDO 1"/>
    <w:basedOn w:val="1"/>
    <w:qFormat/>
    <w:uiPriority w:val="4"/>
    <w:pPr>
      <w:keepNext/>
      <w:keepLines/>
      <w:tabs>
        <w:tab w:val="left" w:pos="567"/>
      </w:tabs>
      <w:spacing w:before="120" w:after="120" w:line="312" w:lineRule="auto"/>
      <w:ind w:hanging="425"/>
      <w:jc w:val="both"/>
      <w:outlineLvl w:val="0"/>
    </w:pPr>
    <w:rPr>
      <w:rFonts w:eastAsia="SimSun"/>
      <w:b/>
      <w:bCs/>
      <w:color w:val="000000"/>
      <w:szCs w:val="24"/>
    </w:rPr>
  </w:style>
  <w:style w:type="character" w:customStyle="1" w:styleId="63">
    <w:name w:val="Fonte parág. padrão11"/>
    <w:qFormat/>
    <w:uiPriority w:val="6"/>
  </w:style>
  <w:style w:type="character" w:customStyle="1" w:styleId="64">
    <w:name w:val="Link da Internet"/>
    <w:qFormat/>
    <w:uiPriority w:val="6"/>
    <w:rPr>
      <w:color w:val="000080"/>
      <w:u w:val="singl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18</Pages>
  <Words>1746</Words>
  <Characters>10258</Characters>
  <Lines>276</Lines>
  <Paragraphs>78</Paragraphs>
  <TotalTime>2</TotalTime>
  <ScaleCrop>false</ScaleCrop>
  <LinksUpToDate>false</LinksUpToDate>
  <CharactersWithSpaces>11955</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eveline.fonseca</cp:lastModifiedBy>
  <cp:lastPrinted>2023-08-22T17:19:00Z</cp:lastPrinted>
  <dcterms:modified xsi:type="dcterms:W3CDTF">2026-03-19T14:16:13Z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1046-12.2.0.23196</vt:lpwstr>
  </property>
  <property fmtid="{D5CDD505-2E9C-101B-9397-08002B2CF9AE}" pid="6" name="ICV">
    <vt:lpwstr>5BDC8CEBA3E94F8CA249749E2E807F87_12</vt:lpwstr>
  </property>
  <property fmtid="{D5CDD505-2E9C-101B-9397-08002B2CF9AE}" pid="7" name="KSOTemplateDocerSaveRecord">
    <vt:lpwstr>eyJoZGlkIjoiZmYxNmE5NDgxMjg3OWM5NWI1NGU3YjFhMmNhMDgyNWMifQ==</vt:lpwstr>
  </property>
</Properties>
</file>